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8F1DB4" w14:textId="3819F16F" w:rsidR="00E40E5C" w:rsidRPr="007A7D36" w:rsidRDefault="00087BD1" w:rsidP="00E40E5C">
      <w:pPr>
        <w:pStyle w:val="Heading3"/>
      </w:pPr>
      <w:r w:rsidRPr="007A7D36">
        <w:t>Résumé</w:t>
      </w:r>
    </w:p>
    <w:p w14:paraId="0E737A21" w14:textId="0BB3ECAF" w:rsidR="00E40E5C" w:rsidRPr="007A7D36" w:rsidRDefault="00E95F7E" w:rsidP="00E40E5C">
      <w:pPr>
        <w:ind w:right="4023"/>
      </w:pPr>
      <w:r w:rsidRPr="007A7D36">
        <w:rPr>
          <w:noProof/>
          <w:lang w:val="en-GB" w:eastAsia="en-GB"/>
        </w:rPr>
        <w:drawing>
          <wp:anchor distT="0" distB="0" distL="114300" distR="114300" simplePos="0" relativeHeight="251657215" behindDoc="0" locked="0" layoutInCell="1" allowOverlap="1" wp14:anchorId="020337CE" wp14:editId="070AEBEA">
            <wp:simplePos x="0" y="0"/>
            <wp:positionH relativeFrom="column">
              <wp:posOffset>4133850</wp:posOffset>
            </wp:positionH>
            <wp:positionV relativeFrom="paragraph">
              <wp:posOffset>72390</wp:posOffset>
            </wp:positionV>
            <wp:extent cx="579120" cy="50355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stars.png"/>
                    <pic:cNvPicPr/>
                  </pic:nvPicPr>
                  <pic:blipFill>
                    <a:blip r:embed="rId8">
                      <a:extLst>
                        <a:ext uri="{28A0092B-C50C-407E-A947-70E740481C1C}">
                          <a14:useLocalDpi xmlns:a14="http://schemas.microsoft.com/office/drawing/2010/main" val="0"/>
                        </a:ext>
                      </a:extLst>
                    </a:blip>
                    <a:stretch>
                      <a:fillRect/>
                    </a:stretch>
                  </pic:blipFill>
                  <pic:spPr>
                    <a:xfrm>
                      <a:off x="0" y="0"/>
                      <a:ext cx="579120" cy="503555"/>
                    </a:xfrm>
                    <a:prstGeom prst="rect">
                      <a:avLst/>
                    </a:prstGeom>
                  </pic:spPr>
                </pic:pic>
              </a:graphicData>
            </a:graphic>
            <wp14:sizeRelH relativeFrom="margin">
              <wp14:pctWidth>0</wp14:pctWidth>
            </wp14:sizeRelH>
            <wp14:sizeRelV relativeFrom="margin">
              <wp14:pctHeight>0</wp14:pctHeight>
            </wp14:sizeRelV>
          </wp:anchor>
        </w:drawing>
      </w:r>
      <w:r w:rsidRPr="007A7D36">
        <w:rPr>
          <w:noProof/>
          <w:lang w:val="en-GB" w:eastAsia="en-GB"/>
        </w:rPr>
        <w:drawing>
          <wp:anchor distT="0" distB="0" distL="114300" distR="114300" simplePos="0" relativeHeight="251660288" behindDoc="0" locked="0" layoutInCell="1" allowOverlap="1" wp14:anchorId="73C351AF" wp14:editId="2DE6B718">
            <wp:simplePos x="0" y="0"/>
            <wp:positionH relativeFrom="column">
              <wp:posOffset>4756785</wp:posOffset>
            </wp:positionH>
            <wp:positionV relativeFrom="paragraph">
              <wp:posOffset>72390</wp:posOffset>
            </wp:positionV>
            <wp:extent cx="575945" cy="503555"/>
            <wp:effectExtent l="0" t="0" r="0" b="0"/>
            <wp:wrapNone/>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4"/>
                    <pic:cNvPicPr>
                      <a:picLocks/>
                    </pic:cNvPicPr>
                  </pic:nvPicPr>
                  <pic:blipFill>
                    <a:blip r:embed="rId9">
                      <a:extLst>
                        <a:ext uri="{28A0092B-C50C-407E-A947-70E740481C1C}">
                          <a14:useLocalDpi xmlns:a14="http://schemas.microsoft.com/office/drawing/2010/main" val="0"/>
                        </a:ext>
                      </a:extLst>
                    </a:blip>
                    <a:stretch>
                      <a:fillRect/>
                    </a:stretch>
                  </pic:blipFill>
                  <pic:spPr>
                    <a:xfrm>
                      <a:off x="0" y="0"/>
                      <a:ext cx="575945" cy="503555"/>
                    </a:xfrm>
                    <a:prstGeom prst="rect">
                      <a:avLst/>
                    </a:prstGeom>
                  </pic:spPr>
                </pic:pic>
              </a:graphicData>
            </a:graphic>
          </wp:anchor>
        </w:drawing>
      </w:r>
      <w:r w:rsidRPr="007A7D36">
        <w:rPr>
          <w:noProof/>
          <w:lang w:val="en-GB" w:eastAsia="en-GB"/>
        </w:rPr>
        <w:drawing>
          <wp:anchor distT="0" distB="0" distL="114300" distR="114300" simplePos="0" relativeHeight="251661312" behindDoc="0" locked="0" layoutInCell="1" allowOverlap="1" wp14:anchorId="19A28AE9" wp14:editId="1AE3BD6D">
            <wp:simplePos x="0" y="0"/>
            <wp:positionH relativeFrom="column">
              <wp:posOffset>5376545</wp:posOffset>
            </wp:positionH>
            <wp:positionV relativeFrom="paragraph">
              <wp:posOffset>72390</wp:posOffset>
            </wp:positionV>
            <wp:extent cx="579120" cy="50355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579120" cy="503555"/>
                    </a:xfrm>
                    <a:prstGeom prst="rect">
                      <a:avLst/>
                    </a:prstGeom>
                  </pic:spPr>
                </pic:pic>
              </a:graphicData>
            </a:graphic>
          </wp:anchor>
        </w:drawing>
      </w:r>
      <w:r w:rsidR="00087BD1" w:rsidRPr="007A7D36">
        <w:rPr>
          <w:noProof/>
          <w:lang w:eastAsia="en-GB"/>
        </w:rPr>
        <w:t>Introduction à la Norme humanitaire fondamentale (CHS, de l’anglais Core Humanitarian Standard) et son utilisation par les praticiens en association avec d’autres éléments du manuel Sphère.</w:t>
      </w:r>
    </w:p>
    <w:p w14:paraId="5FB598C7" w14:textId="2DD75A3E" w:rsidR="00985D9A" w:rsidRPr="007A7D36" w:rsidRDefault="00E95F7E" w:rsidP="00F55302">
      <w:pPr>
        <w:pStyle w:val="Heading3"/>
      </w:pPr>
      <w:r w:rsidRPr="007A7D36">
        <w:rPr>
          <w:noProof/>
          <w:lang w:val="en-GB" w:eastAsia="en-GB"/>
        </w:rPr>
        <mc:AlternateContent>
          <mc:Choice Requires="wps">
            <w:drawing>
              <wp:anchor distT="0" distB="0" distL="114300" distR="114300" simplePos="0" relativeHeight="251663360" behindDoc="0" locked="0" layoutInCell="1" allowOverlap="1" wp14:anchorId="765CE630" wp14:editId="57A01E3C">
                <wp:simplePos x="0" y="0"/>
                <wp:positionH relativeFrom="column">
                  <wp:posOffset>3728085</wp:posOffset>
                </wp:positionH>
                <wp:positionV relativeFrom="paragraph">
                  <wp:posOffset>59690</wp:posOffset>
                </wp:positionV>
                <wp:extent cx="2327910" cy="237490"/>
                <wp:effectExtent l="0" t="0" r="0" b="0"/>
                <wp:wrapNone/>
                <wp:docPr id="1" name="Text Box 1"/>
                <wp:cNvGraphicFramePr/>
                <a:graphic xmlns:a="http://schemas.openxmlformats.org/drawingml/2006/main">
                  <a:graphicData uri="http://schemas.microsoft.com/office/word/2010/wordprocessingShape">
                    <wps:wsp>
                      <wps:cNvSpPr txBox="1"/>
                      <wps:spPr>
                        <a:xfrm>
                          <a:off x="0" y="0"/>
                          <a:ext cx="2327910" cy="23749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D6F8B8E" w14:textId="77777777" w:rsidR="00E95F7E" w:rsidRPr="00123373" w:rsidRDefault="00E95F7E" w:rsidP="00E95F7E">
                            <w:pPr>
                              <w:spacing w:before="0"/>
                              <w:jc w:val="right"/>
                              <w:rPr>
                                <w:b/>
                                <w:noProof/>
                                <w:color w:val="579305" w:themeColor="accent1"/>
                                <w:lang w:val="en-US" w:eastAsia="en-US"/>
                              </w:rPr>
                            </w:pPr>
                            <w:r w:rsidRPr="004014BB">
                              <w:rPr>
                                <w:b/>
                                <w:color w:val="579305" w:themeColor="accent1"/>
                              </w:rPr>
                              <w:t>Diapositives et travail en groupe</w:t>
                            </w:r>
                          </w:p>
                        </w:txbxContent>
                      </wps:txbx>
                      <wps:bodyPr rot="0" spcFirstLastPara="0" vertOverflow="overflow" horzOverflow="overflow" vert="horz" wrap="square" lIns="2" tIns="45720" rIns="91440" bIns="45720" numCol="1" spcCol="0" rtlCol="0" fromWordArt="0" anchor="t" anchorCtr="0" forceAA="0" compatLnSpc="1">
                        <a:prstTxWarp prst="textNoShape">
                          <a:avLst/>
                        </a:prstTxWarp>
                        <a:spAutoFit/>
                      </wps:bodyPr>
                    </wps:wsp>
                  </a:graphicData>
                </a:graphic>
              </wp:anchor>
            </w:drawing>
          </mc:Choice>
          <mc:Fallback>
            <w:pict>
              <v:shapetype w14:anchorId="765CE630" id="_x0000_t202" coordsize="21600,21600" o:spt="202" path="m,l,21600r21600,l21600,xe">
                <v:stroke joinstyle="miter"/>
                <v:path gradientshapeok="t" o:connecttype="rect"/>
              </v:shapetype>
              <v:shape id="Text Box 1" o:spid="_x0000_s1026" type="#_x0000_t202" style="position:absolute;margin-left:293.55pt;margin-top:4.7pt;width:183.3pt;height:18.7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" filled="f" stroked="f">
                <v:textbox style="mso-fit-shape-to-text:t" inset="6e-5mm">
                  <w:txbxContent>
                    <w:p w14:paraId="7D6F8B8E" w14:textId="77777777" w:rsidR="00E95F7E" w:rsidRPr="00123373" w:rsidRDefault="00E95F7E" w:rsidP="00E95F7E">
                      <w:pPr>
                        <w:spacing w:before="0"/>
                        <w:jc w:val="right"/>
                        <w:rPr>
                          <w:b/>
                          <w:noProof/>
                          <w:color w:val="579305" w:themeColor="accent1"/>
                          <w:lang w:val="en-US" w:eastAsia="en-US"/>
                        </w:rPr>
                      </w:pPr>
                      <w:r w:rsidRPr="004014BB">
                        <w:rPr>
                          <w:b/>
                          <w:color w:val="579305" w:themeColor="accent1"/>
                        </w:rPr>
                        <w:t>Diapositives et travail en groupe</w:t>
                      </w:r>
                    </w:p>
                  </w:txbxContent>
                </v:textbox>
              </v:shape>
            </w:pict>
          </mc:Fallback>
        </mc:AlternateContent>
      </w:r>
      <w:r w:rsidR="00087BD1" w:rsidRPr="007A7D36">
        <w:t>But</w:t>
      </w:r>
    </w:p>
    <w:p w14:paraId="54B2F763" w14:textId="381C3984" w:rsidR="00985D9A" w:rsidRPr="007A7D36" w:rsidRDefault="00087BD1" w:rsidP="00A73998">
      <w:r w:rsidRPr="007A7D36">
        <w:t>Ce module entend présenter la CHS de qualité et de redevabilité, qui remplace le chapitre sur les standards essentiels du manuel Sphère. La session présentera la teneur et le format de la CHS et elle la reliera à d’autres sections du manuel Sphère. Ceci permettra aux praticiens d’utiliser la CHS d’une manière pratique avec d’autres sections du manuel Sphère afin d’améliorer la qualité, la redevabilité et l’efficacité de la réponse humanitaire.</w:t>
      </w:r>
    </w:p>
    <w:p w14:paraId="70C97CC9" w14:textId="247002CF" w:rsidR="00985D9A" w:rsidRPr="007A7D36" w:rsidRDefault="00087BD1" w:rsidP="00F55302">
      <w:pPr>
        <w:pStyle w:val="Heading3"/>
      </w:pPr>
      <w:r w:rsidRPr="007A7D36">
        <w:t>Objectifs d’apprentissage</w:t>
      </w:r>
    </w:p>
    <w:p w14:paraId="7CC51377" w14:textId="765AC2ED" w:rsidR="00985D9A" w:rsidRPr="007A7D36" w:rsidRDefault="00087BD1" w:rsidP="00A73998">
      <w:pPr>
        <w:rPr>
          <w:i/>
        </w:rPr>
      </w:pPr>
      <w:r w:rsidRPr="007A7D36">
        <w:rPr>
          <w:i/>
        </w:rPr>
        <w:t>À la fin de cette session, les participants seront capables</w:t>
      </w:r>
      <w:r w:rsidR="00572652" w:rsidRPr="007A7D36">
        <w:rPr>
          <w:i/>
        </w:rPr>
        <w:t> :</w:t>
      </w:r>
    </w:p>
    <w:p w14:paraId="32C758A7" w14:textId="77777777" w:rsidR="00087BD1" w:rsidRPr="007A7D36" w:rsidRDefault="00087BD1" w:rsidP="00087BD1">
      <w:pPr>
        <w:pStyle w:val="bullet"/>
      </w:pPr>
      <w:r w:rsidRPr="007A7D36">
        <w:t xml:space="preserve">D’énumérer les neuf engagements de la CHS </w:t>
      </w:r>
    </w:p>
    <w:p w14:paraId="24A0CE65" w14:textId="77777777" w:rsidR="00087BD1" w:rsidRPr="007A7D36" w:rsidRDefault="00087BD1" w:rsidP="00087BD1">
      <w:pPr>
        <w:pStyle w:val="bullet"/>
      </w:pPr>
      <w:r w:rsidRPr="007A7D36">
        <w:t xml:space="preserve">De décrire le format de la CHS, y compris les engagements, les critères de qualité, les indicateurs de performance, les actions clés, les responsabilités organisationnelles et les notes d’orientation </w:t>
      </w:r>
    </w:p>
    <w:p w14:paraId="62D6FF16" w14:textId="68F569B6" w:rsidR="00985D9A" w:rsidRPr="007A7D36" w:rsidRDefault="00087BD1" w:rsidP="00087BD1">
      <w:pPr>
        <w:pStyle w:val="bullet"/>
      </w:pPr>
      <w:r w:rsidRPr="007A7D36">
        <w:t>D’illustrer comment l’utilisation conjointe de la CHS, de la Charte humanitaire, des Principes de protection et des standards minimums des chapitres techniques de Sphère renforce la qualité, la redevabilité et l’efficacité de l’intervention humanitaire.</w:t>
      </w:r>
    </w:p>
    <w:p w14:paraId="70274713" w14:textId="7150589F" w:rsidR="00781146" w:rsidRPr="007A7D36" w:rsidRDefault="00087BD1" w:rsidP="00F55302">
      <w:pPr>
        <w:pStyle w:val="Heading3"/>
      </w:pPr>
      <w:r w:rsidRPr="007A7D36">
        <w:t>Messages clés</w:t>
      </w:r>
    </w:p>
    <w:p w14:paraId="4DDF7483" w14:textId="77777777" w:rsidR="00087BD1" w:rsidRPr="007A7D36" w:rsidRDefault="00087BD1" w:rsidP="00087BD1">
      <w:pPr>
        <w:pStyle w:val="bullet"/>
      </w:pPr>
      <w:r w:rsidRPr="007A7D36">
        <w:t>La CHS est un ensemble d’engagements, d’actions réalisables et de politiques, processus et systèmes pouvant être adopté de manière volontaire afin de guider une intervention humanitaire de qualité, redevable et fondée sur des principes.</w:t>
      </w:r>
    </w:p>
    <w:p w14:paraId="1085A341" w14:textId="77777777" w:rsidR="00087BD1" w:rsidRPr="007A7D36" w:rsidRDefault="00087BD1" w:rsidP="00087BD1">
      <w:pPr>
        <w:pStyle w:val="bullet"/>
      </w:pPr>
      <w:r w:rsidRPr="007A7D36">
        <w:t>Il s’agit d’une norme mesurable et vérifiable.</w:t>
      </w:r>
    </w:p>
    <w:p w14:paraId="71D4AA09" w14:textId="77777777" w:rsidR="00087BD1" w:rsidRPr="007A7D36" w:rsidRDefault="00087BD1" w:rsidP="00087BD1">
      <w:pPr>
        <w:pStyle w:val="bullet"/>
      </w:pPr>
      <w:r w:rsidRPr="007A7D36">
        <w:t xml:space="preserve">La CHS présente un caractère universel qui la rend applicable indépendamment du contexte et la manière de l’atteindre peut être adaptée aux traditions locales. </w:t>
      </w:r>
    </w:p>
    <w:p w14:paraId="068C08AB" w14:textId="77777777" w:rsidR="00087BD1" w:rsidRPr="007A7D36" w:rsidRDefault="00087BD1" w:rsidP="00087BD1">
      <w:pPr>
        <w:pStyle w:val="bullet"/>
      </w:pPr>
      <w:r w:rsidRPr="007A7D36">
        <w:t>La CHS, la Charte humanitaire, les standards minimums des chapitres techniques de Sphère et les Principes de protection devraient être utilisés conjointement. Ensemble, ils fournissent un cadre exhaustif de qualité et d’efficacité de l’intervention humanitaire et de redevabilité envers les populations affectées par une catastrophe.</w:t>
      </w:r>
    </w:p>
    <w:p w14:paraId="45354317" w14:textId="77777777" w:rsidR="00087BD1" w:rsidRPr="007A7D36" w:rsidRDefault="00087BD1" w:rsidP="00087BD1">
      <w:pPr>
        <w:pStyle w:val="bullet"/>
      </w:pPr>
      <w:r w:rsidRPr="007A7D36">
        <w:t>La Charte humanitaire explique pourquoi nous faisons ce que nous faisons, les chapitres techniques résument ce que nous devrions faire et la CHS et les Principes de protection décrivent comment nous devrions intervenir.</w:t>
      </w:r>
    </w:p>
    <w:p w14:paraId="275BA153" w14:textId="31EEB183" w:rsidR="00087BD1" w:rsidRPr="007A7D36" w:rsidRDefault="00087BD1" w:rsidP="00087BD1">
      <w:pPr>
        <w:pStyle w:val="bullet"/>
      </w:pPr>
      <w:r w:rsidRPr="007A7D36">
        <w:t xml:space="preserve">Les standards minimums des chapitres techniques de Sphère et la CHS ne sont pas simplement des </w:t>
      </w:r>
      <w:r w:rsidR="007A7D36" w:rsidRPr="007A7D36">
        <w:t>déclarations</w:t>
      </w:r>
      <w:r w:rsidRPr="007A7D36">
        <w:t xml:space="preserve"> d’intention. Il s’agit de normes mesurables qui contribuent à l’édification d’une intervention humanitaire plus forte. </w:t>
      </w:r>
    </w:p>
    <w:p w14:paraId="3E7A9476" w14:textId="0148AA13" w:rsidR="00781146" w:rsidRPr="007A7D36" w:rsidRDefault="00087BD1" w:rsidP="00087BD1">
      <w:pPr>
        <w:pStyle w:val="bullet"/>
      </w:pPr>
      <w:r w:rsidRPr="007A7D36">
        <w:t>Tout comme dans le cas des standards minimums des chapitres techniques de Sphère, la non-réalisation des actions clés et des indicateurs de la CHS devrait être analysée, expliquée et utilisée comme un outil puissant pour plaider, au niveau interne comme externe, en faveur par exemple d’un meilleur accès, de plus de ressources, etc.</w:t>
      </w:r>
    </w:p>
    <w:p w14:paraId="7F9E4150" w14:textId="57C02319" w:rsidR="00781146" w:rsidRPr="007A7D36" w:rsidRDefault="00087BD1" w:rsidP="00F55302">
      <w:pPr>
        <w:pStyle w:val="Heading4"/>
      </w:pPr>
      <w:r w:rsidRPr="007A7D36">
        <w:t>Préparatifs et ressources</w:t>
      </w:r>
    </w:p>
    <w:tbl>
      <w:tblPr>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3256"/>
        <w:gridCol w:w="3402"/>
        <w:gridCol w:w="2742"/>
      </w:tblGrid>
      <w:tr w:rsidR="002B2B1A" w:rsidRPr="007A7D36" w14:paraId="579D9508" w14:textId="77777777" w:rsidTr="00182FA6">
        <w:tc>
          <w:tcPr>
            <w:tcW w:w="3256" w:type="dxa"/>
            <w:shd w:val="clear" w:color="auto" w:fill="E9F7CB" w:themeFill="background2" w:themeFillTint="33"/>
          </w:tcPr>
          <w:p w14:paraId="753CA115" w14:textId="196C7C72" w:rsidR="002B2B1A" w:rsidRPr="007A7D36" w:rsidRDefault="002B2B1A" w:rsidP="002B2B1A">
            <w:pPr>
              <w:pStyle w:val="tableheading"/>
            </w:pPr>
            <w:r w:rsidRPr="007A7D36">
              <w:t>Pour le facilitateur</w:t>
            </w:r>
          </w:p>
        </w:tc>
        <w:tc>
          <w:tcPr>
            <w:tcW w:w="3402" w:type="dxa"/>
            <w:shd w:val="clear" w:color="auto" w:fill="E9F7CB" w:themeFill="background2" w:themeFillTint="33"/>
          </w:tcPr>
          <w:p w14:paraId="31FC88C2" w14:textId="7227E379" w:rsidR="002B2B1A" w:rsidRPr="007A7D36" w:rsidRDefault="002B2B1A" w:rsidP="002B2B1A">
            <w:pPr>
              <w:pStyle w:val="tableheading"/>
            </w:pPr>
            <w:r w:rsidRPr="007A7D36">
              <w:t>Pour chaque participant</w:t>
            </w:r>
          </w:p>
        </w:tc>
        <w:tc>
          <w:tcPr>
            <w:tcW w:w="2742" w:type="dxa"/>
            <w:shd w:val="clear" w:color="auto" w:fill="E9F7CB" w:themeFill="background2" w:themeFillTint="33"/>
          </w:tcPr>
          <w:p w14:paraId="40174422" w14:textId="023D2F57" w:rsidR="002B2B1A" w:rsidRPr="007A7D36" w:rsidRDefault="002B2B1A" w:rsidP="002B2B1A">
            <w:pPr>
              <w:pStyle w:val="tableheading"/>
            </w:pPr>
            <w:r w:rsidRPr="007A7D36">
              <w:t>Pour chaque groupe de 3 à 5 participants</w:t>
            </w:r>
          </w:p>
        </w:tc>
      </w:tr>
      <w:tr w:rsidR="00FB6308" w:rsidRPr="007A7D36" w14:paraId="143C1959" w14:textId="77777777" w:rsidTr="00182FA6">
        <w:tc>
          <w:tcPr>
            <w:tcW w:w="3256" w:type="dxa"/>
          </w:tcPr>
          <w:p w14:paraId="6D597B35" w14:textId="77777777" w:rsidR="002B2B1A" w:rsidRPr="007A7D36" w:rsidRDefault="002B2B1A" w:rsidP="002B2B1A">
            <w:pPr>
              <w:pStyle w:val="tablebullet"/>
            </w:pPr>
            <w:r w:rsidRPr="007A7D36">
              <w:t xml:space="preserve">Préparer neuf feuilles de tableau de conférence, sur lesquelles vous aurez préalablement écrit l’un des neuf engagements. Afficher ces feuilles dans la classe. </w:t>
            </w:r>
          </w:p>
          <w:p w14:paraId="09370421" w14:textId="1CD8A2EE" w:rsidR="00FB6308" w:rsidRPr="007A7D36" w:rsidRDefault="002B2B1A" w:rsidP="002B2B1A">
            <w:pPr>
              <w:pStyle w:val="tablebullet"/>
            </w:pPr>
            <w:r w:rsidRPr="007A7D36">
              <w:t>Si les participants n’ont pas apporté leur propre manuel Sphère, il faudra vous munir de copies supplémentaires.</w:t>
            </w:r>
          </w:p>
        </w:tc>
        <w:tc>
          <w:tcPr>
            <w:tcW w:w="3402" w:type="dxa"/>
          </w:tcPr>
          <w:p w14:paraId="5B95A283" w14:textId="77777777" w:rsidR="002B2B1A" w:rsidRPr="007A7D36" w:rsidRDefault="002B2B1A" w:rsidP="002B2B1A">
            <w:pPr>
              <w:pStyle w:val="tablebullet"/>
            </w:pPr>
            <w:r w:rsidRPr="007A7D36">
              <w:t xml:space="preserve">La CHS, y compris les Notes d’orientation et indicateurs de la CHS </w:t>
            </w:r>
          </w:p>
          <w:p w14:paraId="168871E8" w14:textId="77777777" w:rsidR="002B2B1A" w:rsidRPr="007A7D36" w:rsidRDefault="002B2B1A" w:rsidP="002B2B1A">
            <w:pPr>
              <w:pStyle w:val="tablebullet"/>
            </w:pPr>
            <w:r w:rsidRPr="007A7D36">
              <w:t>Un extrait d’un engagement de la CHS (Fiche à distribuer 1)</w:t>
            </w:r>
          </w:p>
          <w:p w14:paraId="1B252FAA" w14:textId="0B867D7E" w:rsidR="00FB6308" w:rsidRPr="007A7D36" w:rsidRDefault="002B2B1A" w:rsidP="002B2B1A">
            <w:pPr>
              <w:pStyle w:val="tablebullet"/>
            </w:pPr>
            <w:r w:rsidRPr="007A7D36">
              <w:t>Activité facultative – Fiches d’activité Sphère et la CHS ainsi que les Questions fréquemment posées (Fiches à distribuer 3 et 4)</w:t>
            </w:r>
          </w:p>
        </w:tc>
        <w:tc>
          <w:tcPr>
            <w:tcW w:w="2742" w:type="dxa"/>
          </w:tcPr>
          <w:p w14:paraId="4421679E" w14:textId="77777777" w:rsidR="00182FA6" w:rsidRPr="007A7D36" w:rsidRDefault="00182FA6" w:rsidP="00182FA6">
            <w:pPr>
              <w:pStyle w:val="tablebullet"/>
            </w:pPr>
            <w:r w:rsidRPr="007A7D36">
              <w:t>Tableau de conférence, marqueurs, Post-its, adhésif (ruban ou pâte adhésive)</w:t>
            </w:r>
          </w:p>
          <w:p w14:paraId="2F02A9E2" w14:textId="5090F1F0" w:rsidR="00FB6308" w:rsidRPr="007A7D36" w:rsidRDefault="00182FA6" w:rsidP="00182FA6">
            <w:pPr>
              <w:pStyle w:val="tablebullet"/>
            </w:pPr>
            <w:r w:rsidRPr="007A7D36">
              <w:t>Une étude de cas dans le cadre du scénario général (Fiche à distribuer 2)</w:t>
            </w:r>
          </w:p>
        </w:tc>
      </w:tr>
    </w:tbl>
    <w:p w14:paraId="4247CF71" w14:textId="5A28F49A" w:rsidR="00B40995" w:rsidRPr="007A7D36" w:rsidRDefault="00182FA6" w:rsidP="0031421B">
      <w:pPr>
        <w:pStyle w:val="Heading3"/>
        <w:pageBreakBefore/>
        <w:spacing w:before="0"/>
      </w:pPr>
      <w:r w:rsidRPr="007A7D36">
        <w:lastRenderedPageBreak/>
        <w:t>Peut-être souhaiterez-vous aussi consulter les modules suivants du Pack de formation Sphère 2015</w:t>
      </w:r>
      <w:r w:rsidR="00572652" w:rsidRPr="007A7D36">
        <w:t> :</w:t>
      </w:r>
    </w:p>
    <w:p w14:paraId="0675ECDA" w14:textId="692E0F9D" w:rsidR="00FB6308" w:rsidRPr="007A7D36" w:rsidRDefault="00FB6308" w:rsidP="00182FA6">
      <w:pPr>
        <w:pStyle w:val="bullet"/>
      </w:pPr>
      <w:r w:rsidRPr="007A7D36">
        <w:rPr>
          <w:b/>
        </w:rPr>
        <w:t xml:space="preserve">Module A1-A3 – </w:t>
      </w:r>
      <w:r w:rsidR="00182FA6" w:rsidRPr="007A7D36">
        <w:t>Sphère</w:t>
      </w:r>
      <w:r w:rsidR="00572652" w:rsidRPr="007A7D36">
        <w:t> :</w:t>
      </w:r>
      <w:r w:rsidR="00182FA6" w:rsidRPr="007A7D36">
        <w:t xml:space="preserve"> tour d’horizon ; Sphere</w:t>
      </w:r>
      <w:r w:rsidR="00572652" w:rsidRPr="007A7D36">
        <w:t> :</w:t>
      </w:r>
      <w:r w:rsidR="00182FA6" w:rsidRPr="007A7D36">
        <w:t xml:space="preserve"> an indepth tour [Sphère</w:t>
      </w:r>
      <w:r w:rsidR="00572652" w:rsidRPr="007A7D36">
        <w:t> :</w:t>
      </w:r>
      <w:r w:rsidR="00182FA6" w:rsidRPr="007A7D36">
        <w:t xml:space="preserve"> examen approfondi] et The Sphere person [le bonhomme Sphère]</w:t>
      </w:r>
    </w:p>
    <w:p w14:paraId="750C0E15" w14:textId="79ED5177" w:rsidR="00FB6308" w:rsidRPr="007A7D36" w:rsidRDefault="00FB6308" w:rsidP="00182FA6">
      <w:pPr>
        <w:pStyle w:val="bullet"/>
        <w:rPr>
          <w:b/>
        </w:rPr>
      </w:pPr>
      <w:r w:rsidRPr="007A7D36">
        <w:rPr>
          <w:b/>
        </w:rPr>
        <w:t xml:space="preserve">Module A4-A5 – </w:t>
      </w:r>
      <w:r w:rsidR="00182FA6" w:rsidRPr="007A7D36">
        <w:rPr>
          <w:bCs w:val="0"/>
        </w:rPr>
        <w:t>Sphere in context [Sphère dans son contexte]</w:t>
      </w:r>
    </w:p>
    <w:p w14:paraId="6A851FE1" w14:textId="7ACC41E4" w:rsidR="00FB6308" w:rsidRPr="007A7D36" w:rsidRDefault="00FB6308" w:rsidP="00182FA6">
      <w:pPr>
        <w:pStyle w:val="bullet"/>
        <w:rPr>
          <w:b/>
        </w:rPr>
      </w:pPr>
      <w:r w:rsidRPr="007A7D36">
        <w:rPr>
          <w:b/>
        </w:rPr>
        <w:t xml:space="preserve">Module A6 – </w:t>
      </w:r>
      <w:r w:rsidR="00182FA6" w:rsidRPr="007A7D36">
        <w:rPr>
          <w:bCs w:val="0"/>
        </w:rPr>
        <w:t>Sphere in practice [Sphère dans la pratique]</w:t>
      </w:r>
    </w:p>
    <w:p w14:paraId="7A044A88" w14:textId="3C38A99E" w:rsidR="008035AC" w:rsidRPr="007A7D36" w:rsidRDefault="00FB6308" w:rsidP="00182FA6">
      <w:pPr>
        <w:pStyle w:val="bullet"/>
      </w:pPr>
      <w:r w:rsidRPr="007A7D36">
        <w:rPr>
          <w:b/>
        </w:rPr>
        <w:t xml:space="preserve">Module A14-A17 </w:t>
      </w:r>
      <w:r w:rsidRPr="007A7D36">
        <w:t xml:space="preserve">– </w:t>
      </w:r>
      <w:r w:rsidR="00182FA6" w:rsidRPr="007A7D36">
        <w:rPr>
          <w:bCs w:val="0"/>
        </w:rPr>
        <w:t>Sphere technical chapters [Chapitres techniques de Sphère]</w:t>
      </w:r>
    </w:p>
    <w:p w14:paraId="3A4A0A93" w14:textId="27A80A1B" w:rsidR="00781146" w:rsidRPr="007A7D36" w:rsidRDefault="00182FA6" w:rsidP="00F55302">
      <w:pPr>
        <w:pStyle w:val="Heading3"/>
      </w:pPr>
      <w:r w:rsidRPr="007A7D36">
        <w:t>Pour aller plus loin</w:t>
      </w:r>
      <w:r w:rsidR="00572652" w:rsidRPr="007A7D36">
        <w:t> :</w:t>
      </w:r>
    </w:p>
    <w:p w14:paraId="041AEBE3" w14:textId="59663F43" w:rsidR="00182FA6" w:rsidRPr="007A7D36" w:rsidRDefault="00F206C2" w:rsidP="00ED093F">
      <w:pPr>
        <w:pStyle w:val="bullet"/>
      </w:pPr>
      <w:hyperlink r:id="rId11" w:history="1">
        <w:r w:rsidR="00182FA6" w:rsidRPr="007A7D36">
          <w:rPr>
            <w:color w:val="004386"/>
            <w:u w:val="single"/>
          </w:rPr>
          <w:t>Le CHS et les Standards essentiels Sphère</w:t>
        </w:r>
        <w:r w:rsidR="007A7D36">
          <w:rPr>
            <w:color w:val="004386"/>
            <w:u w:val="single"/>
          </w:rPr>
          <w:t xml:space="preserve"> de 2011</w:t>
        </w:r>
        <w:r w:rsidR="00572652" w:rsidRPr="007A7D36">
          <w:rPr>
            <w:color w:val="004386"/>
            <w:u w:val="single"/>
          </w:rPr>
          <w:t> :</w:t>
        </w:r>
        <w:r w:rsidR="00182FA6" w:rsidRPr="007A7D36">
          <w:rPr>
            <w:color w:val="004386"/>
            <w:u w:val="single"/>
          </w:rPr>
          <w:t xml:space="preserve"> Analyse et comparaison</w:t>
        </w:r>
      </w:hyperlink>
      <w:r w:rsidR="00182FA6" w:rsidRPr="007A7D36">
        <w:t xml:space="preserve"> pour obtenir un complément d’information destiné aux facilitateurs </w:t>
      </w:r>
    </w:p>
    <w:p w14:paraId="17D80F4D" w14:textId="77777777" w:rsidR="00182FA6" w:rsidRPr="007A7D36" w:rsidRDefault="00182FA6" w:rsidP="00182FA6">
      <w:pPr>
        <w:pStyle w:val="bullet"/>
      </w:pPr>
      <w:r w:rsidRPr="007A7D36">
        <w:t xml:space="preserve">Le site web de la </w:t>
      </w:r>
      <w:hyperlink r:id="rId12" w:history="1">
        <w:r w:rsidRPr="007A7D36">
          <w:rPr>
            <w:color w:val="004386"/>
            <w:u w:val="single"/>
          </w:rPr>
          <w:t>Norme humanitaire fondamentale</w:t>
        </w:r>
      </w:hyperlink>
      <w:r w:rsidRPr="007A7D36">
        <w:t xml:space="preserve"> pour obtenir des informations supplémentaires sur le contexte et l’élaboration de la CHS.</w:t>
      </w:r>
    </w:p>
    <w:p w14:paraId="56CFBA6A" w14:textId="77777777" w:rsidR="00182FA6" w:rsidRPr="007A7D36" w:rsidRDefault="00182FA6" w:rsidP="00182FA6">
      <w:pPr>
        <w:pStyle w:val="bullet"/>
      </w:pPr>
      <w:r w:rsidRPr="007A7D36">
        <w:t xml:space="preserve">Le </w:t>
      </w:r>
      <w:hyperlink r:id="rId13" w:history="1">
        <w:r w:rsidRPr="007A7D36">
          <w:rPr>
            <w:color w:val="004386"/>
            <w:u w:val="single"/>
          </w:rPr>
          <w:t>site web du Projet Sphère</w:t>
        </w:r>
      </w:hyperlink>
      <w:r w:rsidRPr="007A7D36">
        <w:t xml:space="preserve">, les vidéos du Projet Sphère sur </w:t>
      </w:r>
      <w:hyperlink r:id="rId14" w:history="1">
        <w:r w:rsidRPr="007A7D36">
          <w:rPr>
            <w:color w:val="004386"/>
            <w:u w:val="single"/>
          </w:rPr>
          <w:t>YouTube</w:t>
        </w:r>
      </w:hyperlink>
      <w:r w:rsidRPr="007A7D36">
        <w:t xml:space="preserve"> pour obtenir un complément d’information sur Sphère et un rappel de son rôle en matière de redevabilité et d’efficacité </w:t>
      </w:r>
    </w:p>
    <w:p w14:paraId="3A7D556C" w14:textId="038D01A1" w:rsidR="002A07C3" w:rsidRPr="007A7D36" w:rsidRDefault="00182FA6" w:rsidP="00182FA6">
      <w:pPr>
        <w:pStyle w:val="bullet"/>
      </w:pPr>
      <w:r w:rsidRPr="007A7D36">
        <w:t xml:space="preserve">Le site web de la </w:t>
      </w:r>
      <w:hyperlink r:id="rId15" w:history="1">
        <w:r w:rsidRPr="007A7D36">
          <w:rPr>
            <w:color w:val="004386"/>
            <w:u w:val="single"/>
          </w:rPr>
          <w:t>CHS Alliance</w:t>
        </w:r>
      </w:hyperlink>
      <w:r w:rsidRPr="007A7D36">
        <w:t xml:space="preserve">, notamment pour obtenir un complément d’information en matière de </w:t>
      </w:r>
      <w:hyperlink r:id="rId16" w:history="1">
        <w:r w:rsidRPr="007A7D36">
          <w:rPr>
            <w:color w:val="004386"/>
            <w:u w:val="single"/>
          </w:rPr>
          <w:t>vérification</w:t>
        </w:r>
      </w:hyperlink>
      <w:r w:rsidRPr="007A7D36">
        <w:t xml:space="preserve"> ou </w:t>
      </w:r>
      <w:hyperlink r:id="rId17" w:history="1">
        <w:r w:rsidRPr="007A7D36">
          <w:rPr>
            <w:color w:val="004386"/>
            <w:u w:val="single"/>
          </w:rPr>
          <w:t>un appui supplémentaire à la formation</w:t>
        </w:r>
      </w:hyperlink>
    </w:p>
    <w:p w14:paraId="238C3789" w14:textId="49E61DE1" w:rsidR="00781146" w:rsidRPr="007A7D36" w:rsidRDefault="001470E9" w:rsidP="00F55302">
      <w:pPr>
        <w:pStyle w:val="Heading4"/>
      </w:pPr>
      <w:r w:rsidRPr="007A7D36">
        <w:t>Plan de la session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413"/>
        <w:gridCol w:w="7087"/>
        <w:gridCol w:w="964"/>
      </w:tblGrid>
      <w:tr w:rsidR="00D134E1" w:rsidRPr="007A7D36" w14:paraId="7B153374" w14:textId="77777777" w:rsidTr="00572652">
        <w:trPr>
          <w:cantSplit/>
          <w:tblHeader/>
        </w:trPr>
        <w:tc>
          <w:tcPr>
            <w:tcW w:w="1413" w:type="dxa"/>
            <w:shd w:val="clear" w:color="auto" w:fill="E9F7CB" w:themeFill="background2" w:themeFillTint="33"/>
          </w:tcPr>
          <w:p w14:paraId="553B3C63" w14:textId="4599E548" w:rsidR="00781146" w:rsidRPr="007A7D36" w:rsidRDefault="00182FA6" w:rsidP="00DD0F73">
            <w:pPr>
              <w:pStyle w:val="tableheading"/>
            </w:pPr>
            <w:r w:rsidRPr="007A7D36">
              <w:t>Activité</w:t>
            </w:r>
          </w:p>
        </w:tc>
        <w:tc>
          <w:tcPr>
            <w:tcW w:w="7087" w:type="dxa"/>
            <w:shd w:val="clear" w:color="auto" w:fill="E9F7CB" w:themeFill="background2" w:themeFillTint="33"/>
          </w:tcPr>
          <w:p w14:paraId="5C8895F4" w14:textId="77777777" w:rsidR="00781146" w:rsidRPr="007A7D36" w:rsidRDefault="00781146" w:rsidP="00DD0F73">
            <w:pPr>
              <w:pStyle w:val="tableheading"/>
            </w:pPr>
            <w:r w:rsidRPr="007A7D36">
              <w:t>Description</w:t>
            </w:r>
          </w:p>
        </w:tc>
        <w:tc>
          <w:tcPr>
            <w:tcW w:w="964" w:type="dxa"/>
            <w:shd w:val="clear" w:color="auto" w:fill="E9F7CB" w:themeFill="background2" w:themeFillTint="33"/>
          </w:tcPr>
          <w:p w14:paraId="7EED925F" w14:textId="0FD4AC08" w:rsidR="00781146" w:rsidRPr="007A7D36" w:rsidRDefault="00182FA6" w:rsidP="00DD0F73">
            <w:pPr>
              <w:pStyle w:val="tableheading"/>
            </w:pPr>
            <w:r w:rsidRPr="007A7D36">
              <w:t>Durée</w:t>
            </w:r>
          </w:p>
        </w:tc>
      </w:tr>
      <w:tr w:rsidR="00FD563A" w:rsidRPr="007A7D36" w14:paraId="53F05F6F" w14:textId="77777777" w:rsidTr="00572652">
        <w:trPr>
          <w:cantSplit/>
        </w:trPr>
        <w:tc>
          <w:tcPr>
            <w:tcW w:w="1413" w:type="dxa"/>
          </w:tcPr>
          <w:p w14:paraId="7763ED89" w14:textId="14722D63" w:rsidR="00FD563A" w:rsidRPr="007A7D36" w:rsidRDefault="00FD563A" w:rsidP="002B516B">
            <w:pPr>
              <w:pStyle w:val="table"/>
              <w:spacing w:beforeLines="20" w:before="48" w:afterLines="20" w:after="48"/>
              <w:rPr>
                <w:szCs w:val="20"/>
              </w:rPr>
            </w:pPr>
            <w:r w:rsidRPr="007A7D36">
              <w:rPr>
                <w:szCs w:val="20"/>
              </w:rPr>
              <w:t>Introduction</w:t>
            </w:r>
          </w:p>
        </w:tc>
        <w:tc>
          <w:tcPr>
            <w:tcW w:w="7087" w:type="dxa"/>
          </w:tcPr>
          <w:p w14:paraId="71669A1A" w14:textId="44CB0924" w:rsidR="00182FA6" w:rsidRPr="007A7D36" w:rsidRDefault="00182FA6" w:rsidP="002B516B">
            <w:pPr>
              <w:pStyle w:val="table"/>
              <w:spacing w:beforeLines="20" w:before="48" w:afterLines="20" w:after="48"/>
              <w:rPr>
                <w:szCs w:val="20"/>
              </w:rPr>
            </w:pPr>
            <w:r w:rsidRPr="007A7D36">
              <w:rPr>
                <w:szCs w:val="20"/>
              </w:rPr>
              <w:t>Présenter les résultats d’apprentissage (diapo 2) et préciser à qui s’adresse la session</w:t>
            </w:r>
            <w:r w:rsidR="00572652" w:rsidRPr="007A7D36">
              <w:rPr>
                <w:szCs w:val="20"/>
              </w:rPr>
              <w:t> :</w:t>
            </w:r>
            <w:r w:rsidRPr="007A7D36">
              <w:rPr>
                <w:szCs w:val="20"/>
              </w:rPr>
              <w:t xml:space="preserve"> les praticiens humanitaires qui ne connaissent pas Sphère mais qui suivent une introduction plus large au manuel et ceux qui maîtrisent le manuel Sphère 2011 mais qui seront habitués aux standards essentiels de Sphère que remplace la CHS. Renforcer l’environnement d’apprentissage en collaboration et avec le soutien des pairs. Encourager les participants à faire part de leurs réflexions et de leurs expériences et à réfléchir à leurs expériences du terrain en se demandant comment la CHS et les autres chapitres du manuel Sphère utilisés ensemble leur permettront d’améliorer la qualité et la redevabilité de leurs interventions. </w:t>
            </w:r>
          </w:p>
          <w:p w14:paraId="0832C79E" w14:textId="5147595D" w:rsidR="00182FA6" w:rsidRPr="007A7D36" w:rsidRDefault="00182FA6" w:rsidP="002B516B">
            <w:pPr>
              <w:pStyle w:val="table"/>
              <w:spacing w:beforeLines="20" w:before="48" w:afterLines="20" w:after="48"/>
              <w:rPr>
                <w:szCs w:val="20"/>
              </w:rPr>
            </w:pPr>
            <w:r w:rsidRPr="007A7D36">
              <w:rPr>
                <w:szCs w:val="20"/>
              </w:rPr>
              <w:t>Fournir un historique succinct du Projet Sphère et son rôle dans une intervention humanitaire efficace et fondée sur des principes, la coordination et la redevabilité envers les parties prenantes.</w:t>
            </w:r>
            <w:r w:rsidR="00F550F4" w:rsidRPr="007A7D36">
              <w:rPr>
                <w:szCs w:val="20"/>
              </w:rPr>
              <w:t xml:space="preserve"> </w:t>
            </w:r>
          </w:p>
          <w:p w14:paraId="1F20A8BB" w14:textId="77777777" w:rsidR="00182FA6" w:rsidRPr="007A7D36" w:rsidRDefault="00182FA6" w:rsidP="002B516B">
            <w:pPr>
              <w:pStyle w:val="table"/>
              <w:spacing w:beforeLines="20" w:before="48" w:afterLines="20" w:after="48"/>
              <w:rPr>
                <w:szCs w:val="20"/>
              </w:rPr>
            </w:pPr>
            <w:r w:rsidRPr="007A7D36">
              <w:rPr>
                <w:szCs w:val="20"/>
              </w:rPr>
              <w:t>Souligner que l’utilisation de Sphère au cours des 18 dernières années a répondu à l’accent croissant qui est mis sur la redevabilité envers les communautés affectées par une catastrophe, envers les gouvernements hôtes et les bailleurs de fonds.</w:t>
            </w:r>
          </w:p>
          <w:p w14:paraId="4F9C9F79" w14:textId="717E46AC" w:rsidR="00FD563A" w:rsidRPr="007A7D36" w:rsidRDefault="00182FA6" w:rsidP="002B516B">
            <w:pPr>
              <w:pStyle w:val="table"/>
              <w:spacing w:beforeLines="20" w:before="48" w:afterLines="20" w:after="48"/>
              <w:rPr>
                <w:szCs w:val="20"/>
              </w:rPr>
            </w:pPr>
            <w:r w:rsidRPr="007A7D36">
              <w:rPr>
                <w:szCs w:val="20"/>
              </w:rPr>
              <w:t>Donner un bref rappel de la structure du manuel, y compris la Charte humanitaire, les Principes de protection et les chapitres techniques. Expliquer où se glisse la CHS au sein du manuel existant pour venir remplacer le chapitre sur les</w:t>
            </w:r>
            <w:r w:rsidR="00345606" w:rsidRPr="007A7D36">
              <w:rPr>
                <w:szCs w:val="20"/>
              </w:rPr>
              <w:t xml:space="preserve"> standards essentiels de 2011 (d</w:t>
            </w:r>
            <w:r w:rsidRPr="007A7D36">
              <w:rPr>
                <w:szCs w:val="20"/>
              </w:rPr>
              <w:t>iapo</w:t>
            </w:r>
            <w:r w:rsidR="00345606" w:rsidRPr="007A7D36">
              <w:rPr>
                <w:szCs w:val="20"/>
              </w:rPr>
              <w:t>s</w:t>
            </w:r>
            <w:r w:rsidRPr="007A7D36">
              <w:rPr>
                <w:szCs w:val="20"/>
              </w:rPr>
              <w:t xml:space="preserve"> 3</w:t>
            </w:r>
            <w:r w:rsidR="00345606" w:rsidRPr="007A7D36">
              <w:rPr>
                <w:szCs w:val="20"/>
              </w:rPr>
              <w:t>-4</w:t>
            </w:r>
            <w:r w:rsidRPr="007A7D36">
              <w:rPr>
                <w:szCs w:val="20"/>
              </w:rPr>
              <w:t>).</w:t>
            </w:r>
          </w:p>
        </w:tc>
        <w:tc>
          <w:tcPr>
            <w:tcW w:w="964" w:type="dxa"/>
          </w:tcPr>
          <w:p w14:paraId="469EC4CA" w14:textId="26F8DB5F" w:rsidR="00FD563A" w:rsidRPr="007A7D36" w:rsidRDefault="00923CA0" w:rsidP="002B516B">
            <w:pPr>
              <w:pStyle w:val="table"/>
              <w:spacing w:beforeLines="20" w:before="48" w:afterLines="20" w:after="48"/>
              <w:ind w:right="170"/>
              <w:jc w:val="right"/>
              <w:rPr>
                <w:szCs w:val="20"/>
              </w:rPr>
            </w:pPr>
            <w:r w:rsidRPr="007A7D36">
              <w:rPr>
                <w:szCs w:val="20"/>
              </w:rPr>
              <w:t>10</w:t>
            </w:r>
            <w:r w:rsidR="00FD563A" w:rsidRPr="007A7D36">
              <w:rPr>
                <w:szCs w:val="20"/>
              </w:rPr>
              <w:t>'</w:t>
            </w:r>
          </w:p>
        </w:tc>
      </w:tr>
      <w:tr w:rsidR="00FD563A" w:rsidRPr="007A7D36" w14:paraId="32D17686" w14:textId="77777777" w:rsidTr="00572652">
        <w:trPr>
          <w:cantSplit/>
        </w:trPr>
        <w:tc>
          <w:tcPr>
            <w:tcW w:w="1413" w:type="dxa"/>
          </w:tcPr>
          <w:p w14:paraId="478A0E4C" w14:textId="46DCD6FD" w:rsidR="00FD563A" w:rsidRPr="007A7D36" w:rsidRDefault="00182FA6" w:rsidP="002B516B">
            <w:pPr>
              <w:pStyle w:val="table"/>
              <w:spacing w:beforeLines="20" w:before="48" w:afterLines="20" w:after="48"/>
              <w:rPr>
                <w:szCs w:val="20"/>
              </w:rPr>
            </w:pPr>
            <w:r w:rsidRPr="007A7D36">
              <w:rPr>
                <w:szCs w:val="20"/>
              </w:rPr>
              <w:t>La Norme humanitaire fondamentale</w:t>
            </w:r>
            <w:r w:rsidR="00572652" w:rsidRPr="007A7D36">
              <w:rPr>
                <w:szCs w:val="20"/>
              </w:rPr>
              <w:t> :</w:t>
            </w:r>
            <w:r w:rsidRPr="007A7D36">
              <w:rPr>
                <w:szCs w:val="20"/>
              </w:rPr>
              <w:t xml:space="preserve"> introduction</w:t>
            </w:r>
          </w:p>
        </w:tc>
        <w:tc>
          <w:tcPr>
            <w:tcW w:w="7087" w:type="dxa"/>
          </w:tcPr>
          <w:p w14:paraId="32E1E363" w14:textId="7DA6B503" w:rsidR="00182FA6" w:rsidRPr="007A7D36" w:rsidRDefault="00182FA6" w:rsidP="002B516B">
            <w:pPr>
              <w:pStyle w:val="table"/>
              <w:spacing w:beforeLines="20" w:before="48" w:afterLines="20" w:after="48"/>
              <w:rPr>
                <w:szCs w:val="20"/>
              </w:rPr>
            </w:pPr>
            <w:r w:rsidRPr="007A7D36">
              <w:rPr>
                <w:szCs w:val="20"/>
              </w:rPr>
              <w:t>Présenter, de manièr</w:t>
            </w:r>
            <w:r w:rsidR="00345606" w:rsidRPr="007A7D36">
              <w:rPr>
                <w:szCs w:val="20"/>
              </w:rPr>
              <w:t>e interactive, les diapos 5-14</w:t>
            </w:r>
            <w:r w:rsidRPr="007A7D36">
              <w:rPr>
                <w:szCs w:val="20"/>
              </w:rPr>
              <w:t>, en se référant aux notes qui les accompagnent, notamment</w:t>
            </w:r>
            <w:r w:rsidR="00572652" w:rsidRPr="007A7D36">
              <w:rPr>
                <w:szCs w:val="20"/>
              </w:rPr>
              <w:t> :</w:t>
            </w:r>
          </w:p>
          <w:p w14:paraId="1EDD2CA7" w14:textId="77777777" w:rsidR="00182FA6" w:rsidRPr="007A7D36" w:rsidRDefault="00182FA6" w:rsidP="002B516B">
            <w:pPr>
              <w:pStyle w:val="tablebullet"/>
              <w:spacing w:beforeLines="20" w:before="48" w:afterLines="20" w:after="48"/>
              <w:rPr>
                <w:szCs w:val="20"/>
              </w:rPr>
            </w:pPr>
            <w:r w:rsidRPr="007A7D36">
              <w:rPr>
                <w:szCs w:val="20"/>
              </w:rPr>
              <w:t>Comment la CHS a été élaborée ; une brève explication de la façon dont elle a vu le jour.</w:t>
            </w:r>
          </w:p>
          <w:p w14:paraId="2606B46C" w14:textId="77777777" w:rsidR="00182FA6" w:rsidRPr="007A7D36" w:rsidRDefault="00182FA6" w:rsidP="002B516B">
            <w:pPr>
              <w:pStyle w:val="tablebullet"/>
              <w:spacing w:beforeLines="20" w:before="48" w:afterLines="20" w:after="48"/>
              <w:rPr>
                <w:szCs w:val="20"/>
              </w:rPr>
            </w:pPr>
            <w:r w:rsidRPr="007A7D36">
              <w:rPr>
                <w:szCs w:val="20"/>
              </w:rPr>
              <w:t xml:space="preserve">Introduire les neuf engagements. </w:t>
            </w:r>
          </w:p>
          <w:p w14:paraId="187574C4" w14:textId="6A445E16" w:rsidR="00FD563A" w:rsidRPr="007A7D36" w:rsidRDefault="00182FA6" w:rsidP="002B516B">
            <w:pPr>
              <w:pStyle w:val="table"/>
              <w:spacing w:beforeLines="20" w:before="48" w:afterLines="20" w:after="48"/>
              <w:rPr>
                <w:szCs w:val="20"/>
              </w:rPr>
            </w:pPr>
            <w:r w:rsidRPr="007A7D36">
              <w:rPr>
                <w:szCs w:val="20"/>
              </w:rPr>
              <w:t xml:space="preserve">Demander à un participant de lire chacun à haute voix en suivant l’animation. </w:t>
            </w:r>
          </w:p>
        </w:tc>
        <w:tc>
          <w:tcPr>
            <w:tcW w:w="964" w:type="dxa"/>
          </w:tcPr>
          <w:p w14:paraId="6D0D5060" w14:textId="683EE415" w:rsidR="00FD563A" w:rsidRPr="007A7D36" w:rsidRDefault="00A715B4" w:rsidP="002B516B">
            <w:pPr>
              <w:pStyle w:val="table"/>
              <w:spacing w:beforeLines="20" w:before="48" w:afterLines="20" w:after="48"/>
              <w:ind w:right="170"/>
              <w:jc w:val="right"/>
              <w:rPr>
                <w:szCs w:val="20"/>
              </w:rPr>
            </w:pPr>
            <w:r w:rsidRPr="007A7D36">
              <w:rPr>
                <w:szCs w:val="20"/>
              </w:rPr>
              <w:t>10</w:t>
            </w:r>
            <w:r w:rsidR="00FD563A" w:rsidRPr="007A7D36">
              <w:rPr>
                <w:szCs w:val="20"/>
              </w:rPr>
              <w:t>'</w:t>
            </w:r>
          </w:p>
        </w:tc>
      </w:tr>
      <w:tr w:rsidR="00FD563A" w:rsidRPr="007A7D36" w14:paraId="5D92B919" w14:textId="77777777" w:rsidTr="00572652">
        <w:trPr>
          <w:cantSplit/>
        </w:trPr>
        <w:tc>
          <w:tcPr>
            <w:tcW w:w="1413" w:type="dxa"/>
          </w:tcPr>
          <w:p w14:paraId="6ED3926A" w14:textId="6A48F503" w:rsidR="00FD563A" w:rsidRPr="007A7D36" w:rsidRDefault="00182FA6" w:rsidP="002B516B">
            <w:pPr>
              <w:pStyle w:val="table"/>
              <w:spacing w:beforeLines="20" w:before="48" w:afterLines="20" w:after="48"/>
              <w:rPr>
                <w:szCs w:val="20"/>
              </w:rPr>
            </w:pPr>
            <w:r w:rsidRPr="007A7D36">
              <w:rPr>
                <w:b/>
                <w:bCs w:val="0"/>
                <w:szCs w:val="20"/>
              </w:rPr>
              <w:lastRenderedPageBreak/>
              <w:t>Activité facultative</w:t>
            </w:r>
            <w:r w:rsidRPr="007A7D36">
              <w:rPr>
                <w:szCs w:val="20"/>
              </w:rPr>
              <w:t xml:space="preserve"> – la CHS et les standards essentiels</w:t>
            </w:r>
            <w:r w:rsidR="00572652" w:rsidRPr="007A7D36">
              <w:rPr>
                <w:szCs w:val="20"/>
              </w:rPr>
              <w:t> :</w:t>
            </w:r>
            <w:r w:rsidRPr="007A7D36">
              <w:rPr>
                <w:szCs w:val="20"/>
              </w:rPr>
              <w:t xml:space="preserve"> comparaison</w:t>
            </w:r>
          </w:p>
        </w:tc>
        <w:tc>
          <w:tcPr>
            <w:tcW w:w="7087" w:type="dxa"/>
          </w:tcPr>
          <w:p w14:paraId="22CF219D" w14:textId="77777777" w:rsidR="00182FA6" w:rsidRPr="007A7D36" w:rsidRDefault="00182FA6" w:rsidP="002B516B">
            <w:pPr>
              <w:pStyle w:val="table"/>
              <w:spacing w:beforeLines="20" w:before="48" w:afterLines="20" w:after="48"/>
              <w:rPr>
                <w:szCs w:val="20"/>
              </w:rPr>
            </w:pPr>
            <w:r w:rsidRPr="007A7D36">
              <w:rPr>
                <w:szCs w:val="20"/>
              </w:rPr>
              <w:t>Cet exercice est facultatif. Avec certains groupes qui maîtrisent bien le manuel Sphère de 2011, les facilitateurs trouveront peut-être utile de baser leur explication de la CHS sur une comparaison de ses éléments avec les anciens standards essentiels de Sphère.</w:t>
            </w:r>
          </w:p>
          <w:p w14:paraId="7F493808" w14:textId="7FEE5D12" w:rsidR="00182FA6" w:rsidRPr="007A7D36" w:rsidRDefault="00182FA6" w:rsidP="002B516B">
            <w:pPr>
              <w:pStyle w:val="table"/>
              <w:spacing w:beforeLines="20" w:before="48" w:afterLines="20" w:after="48"/>
              <w:rPr>
                <w:szCs w:val="20"/>
              </w:rPr>
            </w:pPr>
            <w:r w:rsidRPr="007A7D36">
              <w:rPr>
                <w:szCs w:val="20"/>
              </w:rPr>
              <w:t>Cette diapo est masquée. Si vous décidez d’utiliser cette activité, i</w:t>
            </w:r>
            <w:r w:rsidR="00345606" w:rsidRPr="007A7D36">
              <w:rPr>
                <w:szCs w:val="20"/>
              </w:rPr>
              <w:t>l vous faudra révéler la diapo 15</w:t>
            </w:r>
            <w:r w:rsidRPr="007A7D36">
              <w:rPr>
                <w:szCs w:val="20"/>
              </w:rPr>
              <w:t xml:space="preserve">. </w:t>
            </w:r>
          </w:p>
          <w:p w14:paraId="36F78D5B" w14:textId="06EBCD4E" w:rsidR="00182FA6" w:rsidRPr="007A7D36" w:rsidRDefault="00182FA6" w:rsidP="002B516B">
            <w:pPr>
              <w:pStyle w:val="table"/>
              <w:spacing w:beforeLines="20" w:before="48" w:afterLines="20" w:after="48"/>
              <w:rPr>
                <w:szCs w:val="20"/>
              </w:rPr>
            </w:pPr>
            <w:r w:rsidRPr="007A7D36">
              <w:rPr>
                <w:szCs w:val="20"/>
              </w:rPr>
              <w:t>Activité</w:t>
            </w:r>
            <w:r w:rsidR="00572652" w:rsidRPr="007A7D36">
              <w:rPr>
                <w:szCs w:val="20"/>
              </w:rPr>
              <w:t> :</w:t>
            </w:r>
            <w:r w:rsidRPr="007A7D36">
              <w:rPr>
                <w:szCs w:val="20"/>
              </w:rPr>
              <w:t xml:space="preserve"> à l’aide des cartes flash contenues dans les fiches à distribuer, de petits groupes (assis à leur table) associeront les neuf engagements et les critères de qualité aux standards essentiels. Cela interpellera les participants qui avaient auparavant l’habitude de travailler avec les standards essentiels. Dans leurs groupes, ils devront coller les cartes flash sur leur feuille de tableau et, à l’aide de marqueurs ou d’une autre technique, ils devront représenter les liens de la manière qu’ils voudront mais en étant capables de les justifier. Certains adopteront peut-être une approche linéaire en se servant de groupes et de flèches mais d’autres seront peut-être plus abstraits et plus créatifs.</w:t>
            </w:r>
          </w:p>
          <w:p w14:paraId="51F6BF0A" w14:textId="77777777" w:rsidR="00182FA6" w:rsidRPr="007A7D36" w:rsidRDefault="00182FA6" w:rsidP="002B516B">
            <w:pPr>
              <w:pStyle w:val="table"/>
              <w:spacing w:beforeLines="20" w:before="48" w:afterLines="20" w:after="48"/>
              <w:rPr>
                <w:szCs w:val="20"/>
              </w:rPr>
            </w:pPr>
            <w:r w:rsidRPr="007A7D36">
              <w:rPr>
                <w:szCs w:val="20"/>
              </w:rPr>
              <w:t xml:space="preserve">Après avoir passé environ cinq minutes pour faire correspondre les engagements aux actions, chaque table présentera ses résultats et il faut prévoir du temps pour obtenir le feedback du facilitateur et pour un échange avec les autres tables. </w:t>
            </w:r>
          </w:p>
          <w:p w14:paraId="020BBA74" w14:textId="09A72FB4" w:rsidR="00182FA6" w:rsidRPr="007A7D36" w:rsidRDefault="00182FA6" w:rsidP="002B516B">
            <w:pPr>
              <w:pStyle w:val="table"/>
              <w:spacing w:beforeLines="20" w:before="48" w:afterLines="20" w:after="48"/>
              <w:rPr>
                <w:szCs w:val="20"/>
              </w:rPr>
            </w:pPr>
            <w:r w:rsidRPr="007A7D36">
              <w:rPr>
                <w:szCs w:val="20"/>
              </w:rPr>
              <w:t>Fiche à distribuer 3</w:t>
            </w:r>
            <w:r w:rsidR="00572652" w:rsidRPr="007A7D36">
              <w:rPr>
                <w:szCs w:val="20"/>
              </w:rPr>
              <w:t> :</w:t>
            </w:r>
            <w:r w:rsidRPr="007A7D36">
              <w:rPr>
                <w:szCs w:val="20"/>
              </w:rPr>
              <w:t xml:space="preserve"> un jeu de cartes flash par table avec un adhésif.</w:t>
            </w:r>
          </w:p>
          <w:p w14:paraId="63535147" w14:textId="1A074C45" w:rsidR="00FD563A" w:rsidRPr="007A7D36" w:rsidRDefault="00182FA6" w:rsidP="007A7D36">
            <w:pPr>
              <w:pStyle w:val="table"/>
              <w:spacing w:beforeLines="20" w:before="48" w:afterLines="20" w:after="48"/>
              <w:rPr>
                <w:szCs w:val="20"/>
              </w:rPr>
            </w:pPr>
            <w:r w:rsidRPr="007A7D36">
              <w:rPr>
                <w:szCs w:val="20"/>
              </w:rPr>
              <w:t>Fiche à distribuer 4</w:t>
            </w:r>
            <w:r w:rsidR="00572652" w:rsidRPr="007A7D36">
              <w:rPr>
                <w:szCs w:val="20"/>
              </w:rPr>
              <w:t> :</w:t>
            </w:r>
            <w:r w:rsidRPr="007A7D36">
              <w:rPr>
                <w:szCs w:val="20"/>
              </w:rPr>
              <w:t xml:space="preserve"> </w:t>
            </w:r>
            <w:hyperlink r:id="rId18" w:history="1">
              <w:r w:rsidRPr="00ED093F">
                <w:rPr>
                  <w:rStyle w:val="Hyperlink"/>
                  <w:i/>
                  <w:iCs/>
                  <w:szCs w:val="20"/>
                </w:rPr>
                <w:t>Les Questions fréquemment posées sur la CHS</w:t>
              </w:r>
              <w:r w:rsidRPr="00ED093F">
                <w:rPr>
                  <w:rStyle w:val="Hyperlink"/>
                  <w:szCs w:val="20"/>
                </w:rPr>
                <w:t xml:space="preserve"> </w:t>
              </w:r>
              <w:r w:rsidRPr="00ED093F">
                <w:rPr>
                  <w:rStyle w:val="Hyperlink"/>
                  <w:i/>
                  <w:iCs/>
                  <w:szCs w:val="20"/>
                </w:rPr>
                <w:t>et Sphère</w:t>
              </w:r>
            </w:hyperlink>
            <w:r w:rsidR="00ED093F">
              <w:rPr>
                <w:i/>
                <w:iCs/>
                <w:szCs w:val="20"/>
              </w:rPr>
              <w:t xml:space="preserve"> </w:t>
            </w:r>
            <w:r w:rsidR="00ED093F" w:rsidRPr="00C12B12">
              <w:rPr>
                <w:szCs w:val="20"/>
              </w:rPr>
              <w:t>(voir site de Sphère)</w:t>
            </w:r>
            <w:r w:rsidR="00ED093F">
              <w:rPr>
                <w:i/>
                <w:iCs/>
                <w:szCs w:val="20"/>
              </w:rPr>
              <w:t xml:space="preserve"> </w:t>
            </w:r>
            <w:r w:rsidRPr="007A7D36">
              <w:rPr>
                <w:szCs w:val="20"/>
              </w:rPr>
              <w:t xml:space="preserve"> et </w:t>
            </w:r>
            <w:r w:rsidR="007A7D36" w:rsidRPr="007A7D36">
              <w:rPr>
                <w:i/>
                <w:iCs/>
                <w:szCs w:val="20"/>
              </w:rPr>
              <w:t>Le CHS et les Standards essentiels Sphère de 2011 : Analyse et comparaison</w:t>
            </w:r>
            <w:r w:rsidR="00ED093F">
              <w:rPr>
                <w:i/>
                <w:iCs/>
                <w:szCs w:val="20"/>
              </w:rPr>
              <w:t xml:space="preserve"> </w:t>
            </w:r>
            <w:r w:rsidR="00ED093F" w:rsidRPr="00C12B12">
              <w:rPr>
                <w:szCs w:val="20"/>
              </w:rPr>
              <w:t>(voir annexes du module)</w:t>
            </w:r>
            <w:r w:rsidR="007A7D36">
              <w:t xml:space="preserve">, </w:t>
            </w:r>
            <w:r w:rsidR="007A7D36" w:rsidRPr="007A7D36">
              <w:rPr>
                <w:szCs w:val="20"/>
              </w:rPr>
              <w:t>à la fin de l’exercice</w:t>
            </w:r>
            <w:r w:rsidR="007A7D36">
              <w:t xml:space="preserve"> </w:t>
            </w:r>
            <w:r w:rsidR="007A7D36" w:rsidRPr="007A7D36">
              <w:t>pour</w:t>
            </w:r>
            <w:r w:rsidRPr="007A7D36">
              <w:rPr>
                <w:szCs w:val="20"/>
              </w:rPr>
              <w:t xml:space="preserve"> donner aux participants un peu de lecture à emporter.</w:t>
            </w:r>
          </w:p>
        </w:tc>
        <w:tc>
          <w:tcPr>
            <w:tcW w:w="964" w:type="dxa"/>
          </w:tcPr>
          <w:p w14:paraId="0E61EB76" w14:textId="7EC20DEF" w:rsidR="00FD563A" w:rsidRPr="007A7D36" w:rsidRDefault="00A715B4" w:rsidP="002B516B">
            <w:pPr>
              <w:pStyle w:val="table"/>
              <w:spacing w:beforeLines="20" w:before="48" w:afterLines="20" w:after="48"/>
              <w:ind w:right="170"/>
              <w:jc w:val="right"/>
              <w:rPr>
                <w:szCs w:val="20"/>
              </w:rPr>
            </w:pPr>
            <w:r w:rsidRPr="007A7D36">
              <w:rPr>
                <w:szCs w:val="20"/>
              </w:rPr>
              <w:t>1</w:t>
            </w:r>
            <w:r w:rsidR="00923CA0" w:rsidRPr="007A7D36">
              <w:rPr>
                <w:szCs w:val="20"/>
              </w:rPr>
              <w:t>5</w:t>
            </w:r>
            <w:r w:rsidR="00FD563A" w:rsidRPr="007A7D36">
              <w:rPr>
                <w:szCs w:val="20"/>
              </w:rPr>
              <w:t>'</w:t>
            </w:r>
            <w:r w:rsidR="00923CA0" w:rsidRPr="007A7D36">
              <w:rPr>
                <w:szCs w:val="20"/>
              </w:rPr>
              <w:br/>
            </w:r>
            <w:r w:rsidR="00923CA0" w:rsidRPr="007A7D36">
              <w:rPr>
                <w:i/>
                <w:iCs/>
                <w:sz w:val="12"/>
                <w:szCs w:val="12"/>
              </w:rPr>
              <w:t>(</w:t>
            </w:r>
            <w:r w:rsidR="001470E9" w:rsidRPr="007A7D36">
              <w:rPr>
                <w:i/>
                <w:iCs/>
                <w:sz w:val="12"/>
                <w:szCs w:val="12"/>
              </w:rPr>
              <w:t>facultatif</w:t>
            </w:r>
            <w:r w:rsidR="00923CA0" w:rsidRPr="007A7D36">
              <w:rPr>
                <w:i/>
                <w:iCs/>
                <w:sz w:val="12"/>
                <w:szCs w:val="12"/>
              </w:rPr>
              <w:t>)</w:t>
            </w:r>
          </w:p>
        </w:tc>
      </w:tr>
      <w:tr w:rsidR="00F57F29" w:rsidRPr="007A7D36" w14:paraId="07714FCA" w14:textId="77777777" w:rsidTr="00572652">
        <w:trPr>
          <w:cantSplit/>
        </w:trPr>
        <w:tc>
          <w:tcPr>
            <w:tcW w:w="1413" w:type="dxa"/>
          </w:tcPr>
          <w:p w14:paraId="2BB384E6" w14:textId="396582A5" w:rsidR="00F57F29" w:rsidRPr="007A7D36" w:rsidRDefault="001470E9" w:rsidP="002B516B">
            <w:pPr>
              <w:pStyle w:val="table"/>
              <w:spacing w:beforeLines="20" w:before="48" w:afterLines="20" w:after="48"/>
              <w:rPr>
                <w:szCs w:val="20"/>
              </w:rPr>
            </w:pPr>
            <w:r w:rsidRPr="007A7D36">
              <w:rPr>
                <w:szCs w:val="20"/>
              </w:rPr>
              <w:t>Activité</w:t>
            </w:r>
          </w:p>
        </w:tc>
        <w:tc>
          <w:tcPr>
            <w:tcW w:w="7087" w:type="dxa"/>
          </w:tcPr>
          <w:p w14:paraId="6DC6B51A" w14:textId="31D0BE9C" w:rsidR="001470E9" w:rsidRPr="007A7D36" w:rsidRDefault="001470E9" w:rsidP="002B516B">
            <w:pPr>
              <w:pStyle w:val="table"/>
              <w:spacing w:beforeLines="20" w:before="48" w:afterLines="20" w:after="48"/>
              <w:rPr>
                <w:szCs w:val="20"/>
              </w:rPr>
            </w:pPr>
            <w:r w:rsidRPr="007A7D36">
              <w:rPr>
                <w:szCs w:val="20"/>
              </w:rPr>
              <w:t>Distribuer à chaque participant une déclaration de pratique positive dans une intervention humanitaire (Fiche à distribuer 1). La fiche à distribuer comporte trois déclarations par engagement</w:t>
            </w:r>
            <w:r w:rsidR="00572652" w:rsidRPr="007A7D36">
              <w:rPr>
                <w:szCs w:val="20"/>
              </w:rPr>
              <w:t> :</w:t>
            </w:r>
            <w:r w:rsidRPr="007A7D36">
              <w:rPr>
                <w:szCs w:val="20"/>
              </w:rPr>
              <w:t xml:space="preserve"> s’assurer qu’un minimum de deux par engagement sont utilisées (si le groupe compte moins de 18 membres, certains participants recevront plusieurs déclarations). </w:t>
            </w:r>
          </w:p>
          <w:p w14:paraId="7B1E89F2" w14:textId="77777777" w:rsidR="001470E9" w:rsidRPr="007A7D36" w:rsidRDefault="001470E9" w:rsidP="002B516B">
            <w:pPr>
              <w:pStyle w:val="table"/>
              <w:spacing w:beforeLines="20" w:before="48" w:afterLines="20" w:after="48"/>
              <w:rPr>
                <w:szCs w:val="20"/>
              </w:rPr>
            </w:pPr>
            <w:r w:rsidRPr="007A7D36">
              <w:rPr>
                <w:szCs w:val="20"/>
              </w:rPr>
              <w:t xml:space="preserve">Désigner les neuf feuilles de tableau éparpillées dans la pièce. Il devrait y avoir un engagement CHS écrit sur chacune en grosses lettres. Demander aux participants de lire leur morceau de papier et, à l’aide de pastille ou de ruban adhésif, invitez-les à se déplacer dans la pièce pour identifier quel engagement est soutenu par leur déclaration. Ils devraient coller leur déclaration sur la feuille de tableau portant l’engagement qui correspond le mieux à leur déclaration. Pour l’instant, ne pas divulguer que ces déclarations sont des éléments extraits d’engagement bien précis de la CHS – se contenter d’expliquer qu’il s’agit de déclarations générales de considérations ou de pratiques positives. </w:t>
            </w:r>
          </w:p>
          <w:p w14:paraId="20FE2B9F" w14:textId="68B2685A" w:rsidR="00F57F29" w:rsidRPr="007A7D36" w:rsidRDefault="001470E9" w:rsidP="002B516B">
            <w:pPr>
              <w:pStyle w:val="table"/>
              <w:spacing w:beforeLines="20" w:before="48" w:afterLines="20" w:after="48"/>
              <w:rPr>
                <w:szCs w:val="20"/>
              </w:rPr>
            </w:pPr>
            <w:r w:rsidRPr="007A7D36">
              <w:rPr>
                <w:szCs w:val="20"/>
              </w:rPr>
              <w:t>Une fois que chaque participant a collé sa ou ses déclaration(s) sur la feuille de tableau qui convient, demander aux participants de rester debout (il est préférable qu’ils ne soient pas à leur table pour faire cet exercice) et procéder à un bref débriefing sur chacune des neuf feuilles de tableau, à tour de rôle, en demandant aux participants d’expliquer pourquoi ils ont collé leur déclaration sur cette feuille. Clarifier toute déclaration dont l’emplacement serait incorrect – il peut y avoir des permutations, auquel cas les participants souhaiteront peut-être expliquer leur choix. Utiliser l’avis général du groupe pour confirmer si chaque exemple est correctement placé ou s’il exi</w:t>
            </w:r>
            <w:r w:rsidR="00E95F7E" w:rsidRPr="007A7D36">
              <w:rPr>
                <w:szCs w:val="20"/>
              </w:rPr>
              <w:t>ste plusieurs options possibles</w:t>
            </w:r>
            <w:r w:rsidR="00F57F29" w:rsidRPr="007A7D36">
              <w:rPr>
                <w:szCs w:val="20"/>
              </w:rPr>
              <w:t>.</w:t>
            </w:r>
          </w:p>
        </w:tc>
        <w:tc>
          <w:tcPr>
            <w:tcW w:w="964" w:type="dxa"/>
          </w:tcPr>
          <w:p w14:paraId="51DC31DA" w14:textId="7016B472" w:rsidR="00F57F29" w:rsidRPr="007A7D36" w:rsidRDefault="00F57F29" w:rsidP="002B516B">
            <w:pPr>
              <w:pStyle w:val="table"/>
              <w:spacing w:beforeLines="20" w:before="48" w:afterLines="20" w:after="48"/>
              <w:ind w:right="170"/>
              <w:jc w:val="right"/>
              <w:rPr>
                <w:szCs w:val="20"/>
              </w:rPr>
            </w:pPr>
            <w:r w:rsidRPr="007A7D36">
              <w:rPr>
                <w:szCs w:val="20"/>
              </w:rPr>
              <w:t>20'</w:t>
            </w:r>
          </w:p>
        </w:tc>
      </w:tr>
      <w:tr w:rsidR="00F57F29" w:rsidRPr="007A7D36" w14:paraId="17F47479" w14:textId="77777777" w:rsidTr="00572652">
        <w:trPr>
          <w:cantSplit/>
        </w:trPr>
        <w:tc>
          <w:tcPr>
            <w:tcW w:w="1413" w:type="dxa"/>
          </w:tcPr>
          <w:p w14:paraId="67A4B134" w14:textId="50C644F0" w:rsidR="00F57F29" w:rsidRPr="007A7D36" w:rsidRDefault="001470E9" w:rsidP="002B516B">
            <w:pPr>
              <w:pStyle w:val="table"/>
              <w:spacing w:beforeLines="20" w:before="48" w:afterLines="20" w:after="48"/>
              <w:rPr>
                <w:szCs w:val="20"/>
              </w:rPr>
            </w:pPr>
            <w:r w:rsidRPr="007A7D36">
              <w:rPr>
                <w:szCs w:val="20"/>
              </w:rPr>
              <w:lastRenderedPageBreak/>
              <w:t>La CHS et ses éléments</w:t>
            </w:r>
            <w:r w:rsidR="00F550F4" w:rsidRPr="007A7D36">
              <w:rPr>
                <w:szCs w:val="20"/>
              </w:rPr>
              <w:t xml:space="preserve"> </w:t>
            </w:r>
          </w:p>
        </w:tc>
        <w:tc>
          <w:tcPr>
            <w:tcW w:w="7087" w:type="dxa"/>
          </w:tcPr>
          <w:p w14:paraId="0AD0AD43" w14:textId="77777777" w:rsidR="001470E9" w:rsidRPr="007A7D36" w:rsidRDefault="001470E9" w:rsidP="002B516B">
            <w:pPr>
              <w:pStyle w:val="table"/>
              <w:spacing w:beforeLines="20" w:before="48" w:afterLines="20" w:after="48"/>
              <w:rPr>
                <w:szCs w:val="20"/>
              </w:rPr>
            </w:pPr>
            <w:r w:rsidRPr="007A7D36">
              <w:rPr>
                <w:szCs w:val="20"/>
              </w:rPr>
              <w:t xml:space="preserve">[Cette section décline chaque engagement en ses éléments, les définit et montre comment l’exercice précédent a utilisé des extraits tirés des divers engagements.] </w:t>
            </w:r>
          </w:p>
          <w:p w14:paraId="0293AA87" w14:textId="530813A6" w:rsidR="001470E9" w:rsidRPr="007A7D36" w:rsidRDefault="001470E9" w:rsidP="002B516B">
            <w:pPr>
              <w:pStyle w:val="table"/>
              <w:spacing w:before="120" w:afterLines="20" w:after="48"/>
              <w:rPr>
                <w:b/>
                <w:bCs w:val="0"/>
                <w:szCs w:val="20"/>
              </w:rPr>
            </w:pPr>
            <w:r w:rsidRPr="007A7D36">
              <w:rPr>
                <w:b/>
                <w:bCs w:val="0"/>
                <w:szCs w:val="20"/>
              </w:rPr>
              <w:t>1ère partie</w:t>
            </w:r>
            <w:r w:rsidR="00572652" w:rsidRPr="007A7D36">
              <w:rPr>
                <w:b/>
                <w:bCs w:val="0"/>
                <w:szCs w:val="20"/>
              </w:rPr>
              <w:t> :</w:t>
            </w:r>
          </w:p>
          <w:p w14:paraId="76019F95" w14:textId="420876B7" w:rsidR="001470E9" w:rsidRPr="007A7D36" w:rsidRDefault="001470E9" w:rsidP="002B516B">
            <w:pPr>
              <w:pStyle w:val="table"/>
              <w:spacing w:beforeLines="20" w:before="48" w:afterLines="20" w:after="48"/>
              <w:rPr>
                <w:szCs w:val="20"/>
              </w:rPr>
            </w:pPr>
            <w:r w:rsidRPr="007A7D36">
              <w:rPr>
                <w:szCs w:val="20"/>
              </w:rPr>
              <w:t xml:space="preserve">Demander aux participants de regagner leur place et distribuer à chacun un exemplaire de la </w:t>
            </w:r>
            <w:r w:rsidR="00345606" w:rsidRPr="007A7D36">
              <w:rPr>
                <w:szCs w:val="20"/>
              </w:rPr>
              <w:t>CHS. Poursuivre en présentant les</w:t>
            </w:r>
            <w:r w:rsidRPr="007A7D36">
              <w:rPr>
                <w:szCs w:val="20"/>
              </w:rPr>
              <w:t xml:space="preserve"> diapo</w:t>
            </w:r>
            <w:r w:rsidR="00345606" w:rsidRPr="007A7D36">
              <w:rPr>
                <w:szCs w:val="20"/>
              </w:rPr>
              <w:t>s 16-25, qui décrivent</w:t>
            </w:r>
            <w:r w:rsidRPr="007A7D36">
              <w:rPr>
                <w:szCs w:val="20"/>
              </w:rPr>
              <w:t xml:space="preserve"> la structure et l’utilisation fonctionnelle de la CHS et de chaque engagement, y compris les indicateurs de performance, l’aide à la réflexion, les actions clés, les notes d’orientation, les responsabilités organisationnelles, etc.</w:t>
            </w:r>
            <w:r w:rsidR="00F550F4" w:rsidRPr="007A7D36">
              <w:rPr>
                <w:szCs w:val="20"/>
              </w:rPr>
              <w:t xml:space="preserve"> </w:t>
            </w:r>
          </w:p>
          <w:p w14:paraId="37540D38" w14:textId="691E541A" w:rsidR="001470E9" w:rsidRPr="007A7D36" w:rsidRDefault="001470E9" w:rsidP="002B516B">
            <w:pPr>
              <w:pStyle w:val="table"/>
              <w:spacing w:beforeLines="20" w:before="48" w:afterLines="20" w:after="48"/>
              <w:rPr>
                <w:szCs w:val="20"/>
              </w:rPr>
            </w:pPr>
            <w:r w:rsidRPr="007A7D36">
              <w:rPr>
                <w:szCs w:val="20"/>
              </w:rPr>
              <w:t>En se servant de l’engagement 1 e</w:t>
            </w:r>
            <w:r w:rsidR="00345606" w:rsidRPr="007A7D36">
              <w:rPr>
                <w:szCs w:val="20"/>
              </w:rPr>
              <w:t>n guise d’exemple (diapos 26-27</w:t>
            </w:r>
            <w:r w:rsidRPr="007A7D36">
              <w:rPr>
                <w:szCs w:val="20"/>
              </w:rPr>
              <w:t xml:space="preserve">), les participants devraient ouvrir le livret intitulé Notes d’orientation et indicateurs et le lire parallèlement aux diapos afin de se familiariser avec sa structure. Faire remarquer que la CHS suit un format légèrement différent des autres standards du manuel Sphère dont ils ont l’habitude. Elle comporte des sections supplémentaires sur l’aide à la réflexion à des fins de suivi et des responsabilités organisationnelles. </w:t>
            </w:r>
          </w:p>
          <w:p w14:paraId="2E8BF217" w14:textId="6789E58C" w:rsidR="001470E9" w:rsidRPr="007A7D36" w:rsidRDefault="001470E9" w:rsidP="002B516B">
            <w:pPr>
              <w:pStyle w:val="table"/>
              <w:spacing w:before="120" w:afterLines="20" w:after="48"/>
              <w:rPr>
                <w:b/>
                <w:bCs w:val="0"/>
                <w:szCs w:val="20"/>
              </w:rPr>
            </w:pPr>
            <w:r w:rsidRPr="007A7D36">
              <w:rPr>
                <w:b/>
                <w:bCs w:val="0"/>
                <w:szCs w:val="20"/>
              </w:rPr>
              <w:t>2ème partie</w:t>
            </w:r>
            <w:r w:rsidR="00572652" w:rsidRPr="007A7D36">
              <w:rPr>
                <w:b/>
                <w:bCs w:val="0"/>
                <w:szCs w:val="20"/>
              </w:rPr>
              <w:t> :</w:t>
            </w:r>
          </w:p>
          <w:p w14:paraId="49D3208A" w14:textId="2C6D0B26" w:rsidR="001470E9" w:rsidRPr="007A7D36" w:rsidRDefault="001470E9" w:rsidP="002B516B">
            <w:pPr>
              <w:pStyle w:val="table"/>
              <w:spacing w:beforeLines="20" w:before="48" w:afterLines="20" w:after="48"/>
              <w:rPr>
                <w:szCs w:val="20"/>
              </w:rPr>
            </w:pPr>
            <w:r w:rsidRPr="007A7D36">
              <w:rPr>
                <w:szCs w:val="20"/>
              </w:rPr>
              <w:t>En résumé de l’activité</w:t>
            </w:r>
            <w:r w:rsidR="00345606" w:rsidRPr="007A7D36">
              <w:rPr>
                <w:szCs w:val="20"/>
              </w:rPr>
              <w:t xml:space="preserve"> précédente – les diapos 28-31</w:t>
            </w:r>
            <w:r w:rsidRPr="007A7D36">
              <w:rPr>
                <w:szCs w:val="20"/>
              </w:rPr>
              <w:t xml:space="preserve"> mettront en exergue une sélection de déclarations tirées de l’exercice précédent ; on verra alors que chacun est un élément d’un engagement particulier. Les déclarations sélectionnées représentent chacune un élément différent d’un engagement (indicateur de performance, note d’orientation, etc.). Dans une micro-activité, les diapos ont été animées afin de divulguer la déclaration en premier, pour donner le temps aux participants de la localiser dans la CHS ; l’animation révèle ensuite l’emplacement exact de la déclaration. Les participants feuillètent la CHS et identifient la section ou le numéro de page, en faisant signe dès qu’ils ont trouvé l’emplacement correspondant. </w:t>
            </w:r>
          </w:p>
          <w:p w14:paraId="43943336" w14:textId="232C2EAA" w:rsidR="001470E9" w:rsidRPr="007A7D36" w:rsidRDefault="001470E9" w:rsidP="002B516B">
            <w:pPr>
              <w:pStyle w:val="table"/>
              <w:spacing w:beforeLines="20" w:before="48" w:afterLines="20" w:after="48"/>
              <w:rPr>
                <w:szCs w:val="20"/>
              </w:rPr>
            </w:pPr>
            <w:r w:rsidRPr="007A7D36">
              <w:rPr>
                <w:szCs w:val="20"/>
              </w:rPr>
              <w:t>Notes au facilitateur</w:t>
            </w:r>
            <w:r w:rsidR="00572652" w:rsidRPr="007A7D36">
              <w:rPr>
                <w:szCs w:val="20"/>
              </w:rPr>
              <w:t> :</w:t>
            </w:r>
            <w:r w:rsidRPr="007A7D36">
              <w:rPr>
                <w:szCs w:val="20"/>
              </w:rPr>
              <w:t xml:space="preserve"> Donner la chance aux participants de fournir leurs propres exemples pour appuyer ces déclarations. Cela les aidera à mieux comprendre comment la CHS pourrait être utilisée concrètement dans des situations réelles. Par exemple</w:t>
            </w:r>
            <w:r w:rsidR="00572652" w:rsidRPr="007A7D36">
              <w:rPr>
                <w:szCs w:val="20"/>
              </w:rPr>
              <w:t> :</w:t>
            </w:r>
            <w:r w:rsidRPr="007A7D36">
              <w:rPr>
                <w:szCs w:val="20"/>
              </w:rPr>
              <w:t xml:space="preserve"> L’engagement 1 (« Les communautés et les personnes affectées par les crises reçoivent une assistance adaptée et appropriée à leurs besoins. ») La première note d’orientation de l’action clé 1.1 fait référence à l’importance de l’analyse et l’évaluation des besoins. Le facilitateur ou les participants souhaiteront peut-être donner un exemple d’une évaluation des besoins solide ou au contraire insuffisante ayant conduit à une intervention humanitaire efficace ou au contraire sans effet. Prévoir du temps pour cet exercice dans le délai imparti.</w:t>
            </w:r>
          </w:p>
          <w:p w14:paraId="342EFACC" w14:textId="277D79BB" w:rsidR="00F57F29" w:rsidRPr="007A7D36" w:rsidRDefault="001470E9" w:rsidP="002B516B">
            <w:pPr>
              <w:pStyle w:val="table"/>
              <w:spacing w:beforeLines="20" w:before="48" w:afterLines="20" w:after="48"/>
              <w:rPr>
                <w:szCs w:val="20"/>
              </w:rPr>
            </w:pPr>
            <w:r w:rsidRPr="007A7D36">
              <w:rPr>
                <w:szCs w:val="20"/>
              </w:rPr>
              <w:t>Souligner que la CHS, ses notes d’orientation et ses indicateurs concernent l’efficacité du processus. Elles renferment des aspirations, des mesures concrètes (actions clés et responsabilités organisationnelles auxquelles sont associées des notes d’orientation) pour dispenser une assistance humanitaire de qualité supérieure et les moyens de mesurer les performances (indicateurs de performance et aide à la réflexion). Elles doivent être utilisées en association avec la Charte humanitaire, les Principes de protection et les standards minimums des chapitres techniques de Sphère (et d’autres standards techniques, comme les standards associés de Sphère, le cas échéant).</w:t>
            </w:r>
          </w:p>
        </w:tc>
        <w:tc>
          <w:tcPr>
            <w:tcW w:w="964" w:type="dxa"/>
          </w:tcPr>
          <w:p w14:paraId="095834F6" w14:textId="4324D40B" w:rsidR="00F57F29" w:rsidRPr="007A7D36" w:rsidRDefault="00F57F29" w:rsidP="002B516B">
            <w:pPr>
              <w:pStyle w:val="table"/>
              <w:spacing w:beforeLines="20" w:before="48" w:afterLines="20" w:after="48"/>
              <w:ind w:right="170"/>
              <w:jc w:val="right"/>
              <w:rPr>
                <w:szCs w:val="20"/>
              </w:rPr>
            </w:pPr>
            <w:r w:rsidRPr="007A7D36">
              <w:rPr>
                <w:szCs w:val="20"/>
              </w:rPr>
              <w:t>15'</w:t>
            </w:r>
          </w:p>
        </w:tc>
      </w:tr>
      <w:tr w:rsidR="00F57F29" w:rsidRPr="007A7D36" w14:paraId="707EE11F" w14:textId="77777777" w:rsidTr="00572652">
        <w:trPr>
          <w:cantSplit/>
        </w:trPr>
        <w:tc>
          <w:tcPr>
            <w:tcW w:w="1413" w:type="dxa"/>
          </w:tcPr>
          <w:p w14:paraId="1FE0743A" w14:textId="307EE403" w:rsidR="00F57F29" w:rsidRPr="007A7D36" w:rsidRDefault="001470E9" w:rsidP="002B516B">
            <w:pPr>
              <w:pStyle w:val="table"/>
              <w:spacing w:beforeLines="20" w:before="48" w:afterLines="20" w:after="48"/>
              <w:rPr>
                <w:szCs w:val="20"/>
              </w:rPr>
            </w:pPr>
            <w:r w:rsidRPr="007A7D36">
              <w:rPr>
                <w:szCs w:val="20"/>
              </w:rPr>
              <w:lastRenderedPageBreak/>
              <w:t>Activité + débriefing</w:t>
            </w:r>
            <w:r w:rsidR="00572652" w:rsidRPr="007A7D36">
              <w:rPr>
                <w:szCs w:val="20"/>
              </w:rPr>
              <w:t> :</w:t>
            </w:r>
            <w:r w:rsidRPr="007A7D36">
              <w:rPr>
                <w:szCs w:val="20"/>
              </w:rPr>
              <w:t xml:space="preserve"> Cyclone Esther</w:t>
            </w:r>
          </w:p>
        </w:tc>
        <w:tc>
          <w:tcPr>
            <w:tcW w:w="7087" w:type="dxa"/>
          </w:tcPr>
          <w:p w14:paraId="74368D8B" w14:textId="6CB57613" w:rsidR="001470E9" w:rsidRPr="007A7D36" w:rsidRDefault="001470E9" w:rsidP="002B516B">
            <w:pPr>
              <w:pStyle w:val="table"/>
              <w:spacing w:beforeLines="20" w:before="48" w:afterLines="20" w:after="48"/>
              <w:rPr>
                <w:szCs w:val="20"/>
              </w:rPr>
            </w:pPr>
            <w:r w:rsidRPr="007A7D36">
              <w:rPr>
                <w:szCs w:val="20"/>
              </w:rPr>
              <w:t>Présenter le scénario en</w:t>
            </w:r>
            <w:r w:rsidR="00345606" w:rsidRPr="007A7D36">
              <w:rPr>
                <w:szCs w:val="20"/>
              </w:rPr>
              <w:t xml:space="preserve"> vous servant des diapos 32-35</w:t>
            </w:r>
            <w:r w:rsidRPr="007A7D36">
              <w:rPr>
                <w:szCs w:val="20"/>
              </w:rPr>
              <w:t xml:space="preserve">. Souligner qu’il s’agit d’un scénario imaginaire tiré d’une combinaison d’expériences du monde réel. </w:t>
            </w:r>
          </w:p>
          <w:p w14:paraId="6BE10561" w14:textId="06E9D1B8" w:rsidR="001470E9" w:rsidRPr="007A7D36" w:rsidRDefault="001470E9" w:rsidP="00F17FD2">
            <w:pPr>
              <w:pStyle w:val="table"/>
              <w:spacing w:beforeLines="20" w:before="48" w:afterLines="20" w:after="48"/>
              <w:rPr>
                <w:b/>
                <w:bCs w:val="0"/>
                <w:szCs w:val="20"/>
              </w:rPr>
            </w:pPr>
            <w:r w:rsidRPr="007A7D36">
              <w:rPr>
                <w:b/>
                <w:bCs w:val="0"/>
                <w:szCs w:val="20"/>
              </w:rPr>
              <w:t>Cet exercice permettra aux groupes de réfléchir à la façon dont la CHS et le</w:t>
            </w:r>
            <w:r w:rsidR="00F17FD2" w:rsidRPr="007A7D36">
              <w:rPr>
                <w:b/>
                <w:bCs w:val="0"/>
                <w:szCs w:val="20"/>
              </w:rPr>
              <w:t xml:space="preserve">s autres chapitres du </w:t>
            </w:r>
            <w:r w:rsidRPr="007A7D36">
              <w:rPr>
                <w:b/>
                <w:bCs w:val="0"/>
                <w:szCs w:val="20"/>
              </w:rPr>
              <w:t>manuel Sphère soutiennent conjointement la qualité, l’efficacité et la redevabilité, et comment, lorsqu’ils sont utilisés ensemble, ils fournissent aux agences et travailleurs humanitaires des outils pour améliorer leurs programmes.</w:t>
            </w:r>
          </w:p>
          <w:p w14:paraId="32984C0E" w14:textId="45F75F7F" w:rsidR="001470E9" w:rsidRPr="007A7D36" w:rsidRDefault="001470E9" w:rsidP="002B516B">
            <w:pPr>
              <w:pStyle w:val="table"/>
              <w:spacing w:beforeLines="20" w:before="48" w:afterLines="20" w:after="48"/>
              <w:rPr>
                <w:szCs w:val="20"/>
              </w:rPr>
            </w:pPr>
            <w:r w:rsidRPr="007A7D36">
              <w:rPr>
                <w:szCs w:val="20"/>
              </w:rPr>
              <w:t>Consignes</w:t>
            </w:r>
            <w:r w:rsidR="00572652" w:rsidRPr="007A7D36">
              <w:rPr>
                <w:szCs w:val="20"/>
              </w:rPr>
              <w:t> :</w:t>
            </w:r>
            <w:r w:rsidRPr="007A7D36">
              <w:rPr>
                <w:szCs w:val="20"/>
              </w:rPr>
              <w:t xml:space="preserve"> chaque table (de préférence, 3 à 5 personnes) recevra une étude de cas différente (fiche à distribuer 2) pour explorer un aspect différent de l’intervention imaginaire suite au Cyclone Esther. À leur table, les participants ont 25 minutes pour discuter et convenir d’au moins trois actions réparatrices en se servant de la CHS ainsi que des Principes de protection et des standards minimums des chapitres techniques de Sphère. </w:t>
            </w:r>
          </w:p>
          <w:p w14:paraId="17AA8BA2" w14:textId="77777777" w:rsidR="001470E9" w:rsidRPr="007A7D36" w:rsidRDefault="001470E9" w:rsidP="002B516B">
            <w:pPr>
              <w:pStyle w:val="table"/>
              <w:spacing w:beforeLines="20" w:before="48" w:afterLines="20" w:after="48"/>
              <w:rPr>
                <w:szCs w:val="20"/>
              </w:rPr>
            </w:pPr>
            <w:r w:rsidRPr="007A7D36">
              <w:rPr>
                <w:szCs w:val="20"/>
              </w:rPr>
              <w:t xml:space="preserve">Lors de leur présentation, il est préférable que les groupes donnent les numéros de page – cela aide les autres groupes à trouver rapidement le standard correspondant, l’action clé, etc. et cela aide aussi les autres groupes à s’impliquer davantage dans la présentation de leurs collègues. </w:t>
            </w:r>
          </w:p>
          <w:p w14:paraId="04BB7177" w14:textId="77777777" w:rsidR="001470E9" w:rsidRPr="007A7D36" w:rsidRDefault="001470E9" w:rsidP="002B516B">
            <w:pPr>
              <w:pStyle w:val="table"/>
              <w:spacing w:beforeLines="20" w:before="48" w:afterLines="20" w:after="48"/>
              <w:rPr>
                <w:szCs w:val="20"/>
              </w:rPr>
            </w:pPr>
            <w:r w:rsidRPr="007A7D36">
              <w:rPr>
                <w:szCs w:val="20"/>
              </w:rPr>
              <w:t>Les consignes figurent sur la diapo. Les participants devraient utiliser leur CHS et un manuel Sphère.</w:t>
            </w:r>
          </w:p>
          <w:p w14:paraId="25FC8AC5" w14:textId="700356D2" w:rsidR="001470E9" w:rsidRPr="007A7D36" w:rsidRDefault="001470E9" w:rsidP="002B516B">
            <w:pPr>
              <w:pStyle w:val="table"/>
              <w:spacing w:beforeLines="20" w:before="48" w:afterLines="20" w:after="48"/>
              <w:rPr>
                <w:szCs w:val="20"/>
              </w:rPr>
            </w:pPr>
            <w:r w:rsidRPr="007A7D36">
              <w:rPr>
                <w:szCs w:val="20"/>
              </w:rPr>
              <w:t>Au bout de 25 minutes, les groupes présenteront leur étude de cas sous forme d’exposé. Les groupes devraient se préparer à présenter leur tableau de conférence de manière visuelle et créative ; ils devraient coller leur présentation sur les murs ou autour de la pièce avant le début du débriefing. Encouragez les participants à réfléchir à leurs propres expériences et à en faire part à leurs collègues en séance plénière, le cas échéant. La principale considération est la suivante</w:t>
            </w:r>
            <w:r w:rsidR="00572652" w:rsidRPr="007A7D36">
              <w:rPr>
                <w:szCs w:val="20"/>
              </w:rPr>
              <w:t> :</w:t>
            </w:r>
            <w:r w:rsidRPr="007A7D36">
              <w:rPr>
                <w:szCs w:val="20"/>
              </w:rPr>
              <w:t xml:space="preserve"> comment la CHS et le</w:t>
            </w:r>
            <w:r w:rsidR="00F17FD2" w:rsidRPr="007A7D36">
              <w:rPr>
                <w:szCs w:val="20"/>
              </w:rPr>
              <w:t>s autres chapitres du</w:t>
            </w:r>
            <w:r w:rsidRPr="007A7D36">
              <w:rPr>
                <w:szCs w:val="20"/>
              </w:rPr>
              <w:t xml:space="preserve"> manuel Sphère soutiendraient conjointement la qualité et la redevabilité, OU BIEN, dans quelle mesure avez-vous vu une intervention humanitaire compromise par l’absence d’un tel cadre de qualité et de redevabilité. (p. ex. un participant souhaitera peut-être réfléchir à la corruption, à un abus sexuel et à l’exploitation ou encore au manque de conception participative d’un programme.)</w:t>
            </w:r>
          </w:p>
          <w:p w14:paraId="6464654E" w14:textId="77777777" w:rsidR="001470E9" w:rsidRPr="007A7D36" w:rsidRDefault="001470E9" w:rsidP="002B516B">
            <w:pPr>
              <w:pStyle w:val="table"/>
              <w:spacing w:beforeLines="20" w:before="48" w:afterLines="20" w:after="48"/>
              <w:rPr>
                <w:szCs w:val="20"/>
              </w:rPr>
            </w:pPr>
            <w:r w:rsidRPr="007A7D36">
              <w:rPr>
                <w:szCs w:val="20"/>
              </w:rPr>
              <w:t>La gestion du temps revêt beaucoup d’importance dans cet exercice afin de permettre à chaque groupe d’avoir le temps de faire sa présentation, de recevoir un feedback et de répondre aux questions éventuelles.</w:t>
            </w:r>
          </w:p>
          <w:p w14:paraId="00D78853" w14:textId="7A8F54F2" w:rsidR="00F57F29" w:rsidRPr="007A7D36" w:rsidRDefault="001470E9" w:rsidP="002B516B">
            <w:pPr>
              <w:pStyle w:val="table"/>
              <w:spacing w:beforeLines="20" w:before="48" w:afterLines="20" w:after="48"/>
              <w:rPr>
                <w:szCs w:val="20"/>
              </w:rPr>
            </w:pPr>
            <w:r w:rsidRPr="007A7D36">
              <w:rPr>
                <w:szCs w:val="20"/>
              </w:rPr>
              <w:t>Sur la fiche à distribuer pour cet exercice, il y a des notes détaillées à l’intention des facilitateurs pour certaines des réponses techniques « correctes » pour chaque étude de cas. À noter qu’il s’agit purement de suggestions pour aider le facilitateur à procéder au débriefing, pour lancer la discussion avec les groupes et proposer de nouvelles pistes de réflexion que le groupe n’a pas envisagées.</w:t>
            </w:r>
          </w:p>
        </w:tc>
        <w:tc>
          <w:tcPr>
            <w:tcW w:w="964" w:type="dxa"/>
          </w:tcPr>
          <w:p w14:paraId="679594EB" w14:textId="075C6A80" w:rsidR="00F57F29" w:rsidRPr="007A7D36" w:rsidRDefault="00F57F29" w:rsidP="002B516B">
            <w:pPr>
              <w:pStyle w:val="table"/>
              <w:spacing w:beforeLines="20" w:before="48" w:afterLines="20" w:after="48"/>
              <w:ind w:right="170"/>
              <w:jc w:val="right"/>
              <w:rPr>
                <w:szCs w:val="20"/>
              </w:rPr>
            </w:pPr>
            <w:r w:rsidRPr="007A7D36">
              <w:rPr>
                <w:szCs w:val="20"/>
              </w:rPr>
              <w:t>60' (30' + 30')</w:t>
            </w:r>
          </w:p>
        </w:tc>
      </w:tr>
      <w:tr w:rsidR="00F57F29" w:rsidRPr="007A7D36" w14:paraId="3EABB976" w14:textId="77777777" w:rsidTr="00572652">
        <w:trPr>
          <w:cantSplit/>
        </w:trPr>
        <w:tc>
          <w:tcPr>
            <w:tcW w:w="1413" w:type="dxa"/>
          </w:tcPr>
          <w:p w14:paraId="4477A069" w14:textId="7933217E" w:rsidR="00F57F29" w:rsidRPr="007A7D36" w:rsidRDefault="001470E9" w:rsidP="002B516B">
            <w:pPr>
              <w:pStyle w:val="table"/>
              <w:spacing w:beforeLines="20" w:before="48" w:afterLines="20" w:after="48"/>
              <w:rPr>
                <w:szCs w:val="20"/>
              </w:rPr>
            </w:pPr>
            <w:r w:rsidRPr="007A7D36">
              <w:rPr>
                <w:szCs w:val="20"/>
              </w:rPr>
              <w:t>Conclusions et questions</w:t>
            </w:r>
          </w:p>
        </w:tc>
        <w:tc>
          <w:tcPr>
            <w:tcW w:w="7087" w:type="dxa"/>
          </w:tcPr>
          <w:p w14:paraId="45E4DBEB" w14:textId="77777777" w:rsidR="001470E9" w:rsidRPr="007A7D36" w:rsidRDefault="001470E9" w:rsidP="002B516B">
            <w:pPr>
              <w:pStyle w:val="table"/>
              <w:spacing w:beforeLines="20" w:before="48" w:afterLines="20" w:after="48"/>
              <w:rPr>
                <w:szCs w:val="20"/>
              </w:rPr>
            </w:pPr>
            <w:r w:rsidRPr="007A7D36">
              <w:rPr>
                <w:szCs w:val="20"/>
              </w:rPr>
              <w:t>Prévoir du temps pour les questions.</w:t>
            </w:r>
          </w:p>
          <w:p w14:paraId="77D597F7" w14:textId="373A7D5F" w:rsidR="001470E9" w:rsidRPr="007A7D36" w:rsidRDefault="006E6B41" w:rsidP="00781DE1">
            <w:pPr>
              <w:pStyle w:val="table"/>
              <w:spacing w:beforeLines="20" w:before="48" w:afterLines="20" w:after="48"/>
              <w:rPr>
                <w:szCs w:val="20"/>
              </w:rPr>
            </w:pPr>
            <w:r>
              <w:rPr>
                <w:szCs w:val="20"/>
              </w:rPr>
              <w:t xml:space="preserve">(Diapo 36). </w:t>
            </w:r>
            <w:r w:rsidR="001470E9" w:rsidRPr="007A7D36">
              <w:rPr>
                <w:szCs w:val="20"/>
              </w:rPr>
              <w:t>Souligner que la CHS est un ensemble d’engagements, d’actions réalisables et de politiques, processus et systèmes adopté à titre volontaire qui, lorsqu’ils sont mesurés, peuvent indiquer si une intervention humanitaire a été redevable, efficace et fondée sur des principes. Rappeler au groupe que, tout comme dans le cas de la totalité du manuel Sphère, lorsque des indicateurs font ressortir des lacunes, cela confère une excellente occasion de réfléchir et de plaider en faveur des changements requis pour permettre aux actions et aux politiques d’être menées à bien/aux indicateurs d’être atteints. Plutôt que de dénoncer une mauvaise performance ou des faiblesses organisationnelles, il se peut que la situation soit délicate au plan de la sécurité, que le personnel soit surchargé de travail, que la chaîne d’approvisionnement/les achats ne soient pas réalistes, que les systèmes technologiques ne soient pas en mesure de fonctionner correctement, ou que la coordination avec d’autres acteurs n’aient pas véritablement lieu. Lorsque le personnel de terrain et les organisations peuvent se servir des lacunes pour plaider en faveur de meilleurs résultats, la fermeté de la réponse ne peut que s’en sentir confortée. Ce point est particulièrement lié à l’Engagement 2 de la CHS.</w:t>
            </w:r>
            <w:r w:rsidR="00F550F4" w:rsidRPr="007A7D36">
              <w:rPr>
                <w:szCs w:val="20"/>
              </w:rPr>
              <w:t xml:space="preserve"> </w:t>
            </w:r>
          </w:p>
          <w:p w14:paraId="5833D784" w14:textId="77777777" w:rsidR="001470E9" w:rsidRPr="007A7D36" w:rsidRDefault="001470E9" w:rsidP="002B516B">
            <w:pPr>
              <w:pStyle w:val="table"/>
              <w:spacing w:beforeLines="20" w:before="48" w:afterLines="20" w:after="48"/>
              <w:rPr>
                <w:szCs w:val="20"/>
              </w:rPr>
            </w:pPr>
            <w:r w:rsidRPr="007A7D36">
              <w:rPr>
                <w:szCs w:val="20"/>
              </w:rPr>
              <w:t>Souligner également que la CHS devrait être utilisée en association avec la Charte humanitaire, les Principes de protection et les standards minimums des chapitres techniques de Sphère (et d’autres standards techniques, le cas échéant).</w:t>
            </w:r>
          </w:p>
          <w:p w14:paraId="3C51A5BA" w14:textId="599A6CCC" w:rsidR="00F57F29" w:rsidRPr="007A7D36" w:rsidRDefault="001470E9" w:rsidP="002B516B">
            <w:pPr>
              <w:pStyle w:val="table"/>
              <w:spacing w:beforeLines="20" w:before="48" w:afterLines="20" w:after="48"/>
              <w:rPr>
                <w:szCs w:val="20"/>
              </w:rPr>
            </w:pPr>
            <w:r w:rsidRPr="007A7D36">
              <w:rPr>
                <w:szCs w:val="20"/>
              </w:rPr>
              <w:t>Lectures complémentaires et soutien supplémentaire</w:t>
            </w:r>
            <w:r w:rsidR="00572652" w:rsidRPr="007A7D36">
              <w:rPr>
                <w:szCs w:val="20"/>
              </w:rPr>
              <w:t> :</w:t>
            </w:r>
            <w:r w:rsidR="006E6B41">
              <w:rPr>
                <w:szCs w:val="20"/>
              </w:rPr>
              <w:t xml:space="preserve"> diapo 37</w:t>
            </w:r>
          </w:p>
        </w:tc>
        <w:tc>
          <w:tcPr>
            <w:tcW w:w="964" w:type="dxa"/>
          </w:tcPr>
          <w:p w14:paraId="234F9249" w14:textId="5D49DBF2" w:rsidR="00F57F29" w:rsidRPr="007A7D36" w:rsidRDefault="00F57F29" w:rsidP="002B516B">
            <w:pPr>
              <w:pStyle w:val="table"/>
              <w:spacing w:beforeLines="20" w:before="48" w:afterLines="20" w:after="48"/>
              <w:ind w:right="170"/>
              <w:jc w:val="right"/>
              <w:rPr>
                <w:szCs w:val="20"/>
              </w:rPr>
            </w:pPr>
            <w:r w:rsidRPr="007A7D36">
              <w:rPr>
                <w:szCs w:val="20"/>
              </w:rPr>
              <w:t>5'</w:t>
            </w:r>
          </w:p>
        </w:tc>
      </w:tr>
    </w:tbl>
    <w:p w14:paraId="628FA66C" w14:textId="0A0238BA" w:rsidR="00781146" w:rsidRPr="007A7D36" w:rsidRDefault="001470E9" w:rsidP="00B045E1">
      <w:pPr>
        <w:pStyle w:val="Heading3"/>
        <w:spacing w:before="200"/>
      </w:pPr>
      <w:r w:rsidRPr="007A7D36">
        <w:lastRenderedPageBreak/>
        <w:t>Conseils aux facilitateurs</w:t>
      </w:r>
    </w:p>
    <w:p w14:paraId="5EC0BD12" w14:textId="77777777" w:rsidR="001470E9" w:rsidRPr="007A7D36" w:rsidRDefault="001470E9" w:rsidP="00572652">
      <w:pPr>
        <w:pStyle w:val="bullet"/>
        <w:keepNext/>
        <w:keepLines/>
      </w:pPr>
      <w:r w:rsidRPr="007A7D36">
        <w:t>Ce module s’adresse à ceux qui ont déjà été exposés au manuel Sphère. Il n’est pas conçu pour les débutants. Il serait préférable de le dispenser dans le cadre d’une présentation d’au moins une journée sur le manuel Sphère lors d’une formation. Essayer de mélanger les groupes de manière à ce qu’il y ait une palette de participants ayant différents degrés d’exposition au manuel Sphère, à la redevabilité ou aux travaux de terrain. Cela permettra d’améliorer la qualité des discussions et de l’analyse dans les exercices. Avant la session, déterminer le niveau d’expérience du groupe de participants.</w:t>
      </w:r>
    </w:p>
    <w:p w14:paraId="23223DFF" w14:textId="77777777" w:rsidR="001470E9" w:rsidRPr="007A7D36" w:rsidRDefault="001470E9" w:rsidP="00572652">
      <w:pPr>
        <w:pStyle w:val="bullet"/>
        <w:keepNext/>
        <w:keepLines/>
      </w:pPr>
      <w:r w:rsidRPr="007A7D36">
        <w:t>Se familiariser avec la CHS et les supports pédagogiques fournis sur le site web du Projet Sphère et de la CHS Alliance afin de préparer ce module.</w:t>
      </w:r>
    </w:p>
    <w:p w14:paraId="73B12D09" w14:textId="77777777" w:rsidR="001470E9" w:rsidRPr="007A7D36" w:rsidRDefault="001470E9" w:rsidP="00572652">
      <w:pPr>
        <w:pStyle w:val="bullet"/>
        <w:keepNext/>
        <w:keepLines/>
      </w:pPr>
      <w:r w:rsidRPr="007A7D36">
        <w:t>S’efforcer de mettre au jour l’expérience de terrain des participants. Leurs expériences guideront les discussions axées sur la redevabilité et l’efficacité de l’intervention humanitaire et la façon dont elle peut être optimisée en utilisant la CHS. Au cours de l’exercice principal en particulier, les participants auront des exemples nombreux et variés à apporter et il faudra les encourager à les citer.</w:t>
      </w:r>
    </w:p>
    <w:p w14:paraId="6F19A475" w14:textId="77777777" w:rsidR="001470E9" w:rsidRPr="007A7D36" w:rsidRDefault="001470E9" w:rsidP="00572652">
      <w:pPr>
        <w:pStyle w:val="bullet"/>
        <w:keepLines/>
      </w:pPr>
      <w:r w:rsidRPr="007A7D36">
        <w:t>Préparer les neuf feuilles de tableau à l’avance et les répartir à travers la pièce, de préférence à l’écart de la zone où les participants sont assis. Chaque feuille de tableau devra comporter l’un des neuf engagements écrit en grosses lettres, en laissant de la place pour que les participants puissent y apposer les exemples pertinents.</w:t>
      </w:r>
    </w:p>
    <w:p w14:paraId="44F3AA79" w14:textId="050D17AE" w:rsidR="008B7D3C" w:rsidRPr="007A7D36" w:rsidRDefault="001470E9" w:rsidP="00F206C2">
      <w:pPr>
        <w:pStyle w:val="tablebullet"/>
      </w:pPr>
      <w:r w:rsidRPr="007A7D36">
        <w:t>Se familiariser avec l’étude de cas imaginaire et, en fonction du nombre de participants, sélectionner le nombre approprié de scénarios pour l’exercice. Vous pourrez préparer à l’avance certains exemples vécus, en expliquant comment vous avez été exposé à ce scénario particulier et ce qu</w:t>
      </w:r>
      <w:r w:rsidR="00F206C2">
        <w:t>’il</w:t>
      </w:r>
      <w:bookmarkStart w:id="0" w:name="_GoBack"/>
      <w:bookmarkEnd w:id="0"/>
      <w:r w:rsidRPr="007A7D36">
        <w:t xml:space="preserve"> s’est passé.</w:t>
      </w:r>
    </w:p>
    <w:sectPr w:rsidR="008B7D3C" w:rsidRPr="007A7D36" w:rsidSect="00923CA0">
      <w:footerReference w:type="even" r:id="rId19"/>
      <w:footerReference w:type="default" r:id="rId20"/>
      <w:headerReference w:type="first" r:id="rId21"/>
      <w:footerReference w:type="first" r:id="rId22"/>
      <w:pgSz w:w="11906" w:h="16838" w:code="9"/>
      <w:pgMar w:top="1021" w:right="1021" w:bottom="567" w:left="1021" w:header="709" w:footer="454" w:gutter="45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EA14FD" w14:textId="77777777" w:rsidR="00AA66EB" w:rsidRDefault="00AA66EB" w:rsidP="002848CC">
      <w:pPr>
        <w:spacing w:before="0"/>
      </w:pPr>
      <w:r>
        <w:separator/>
      </w:r>
    </w:p>
  </w:endnote>
  <w:endnote w:type="continuationSeparator" w:id="0">
    <w:p w14:paraId="6F6281B7" w14:textId="77777777" w:rsidR="00AA66EB" w:rsidRDefault="00AA66EB"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1769F2ED" w:rsidR="00FD563A" w:rsidRPr="00087BD1" w:rsidRDefault="00087BD1" w:rsidP="00087BD1">
    <w:pPr>
      <w:pStyle w:val="Footer"/>
    </w:pPr>
    <w:r w:rsidRPr="00087BD1">
      <w:rPr>
        <w:rStyle w:val="PageNumber"/>
        <w:rFonts w:ascii="Tahoma" w:hAnsi="Tahoma"/>
      </w:rPr>
      <w:t>Module A8 – La Norme humanitaire fondamentale dans le manuel Sphè</w:t>
    </w:r>
    <w:r w:rsidR="00F17FD2">
      <w:rPr>
        <w:rStyle w:val="PageNumber"/>
        <w:rFonts w:ascii="Tahoma" w:hAnsi="Tahoma"/>
      </w:rPr>
      <w:t>re</w:t>
    </w:r>
    <w:r w:rsidR="00F17FD2">
      <w:rPr>
        <w:rStyle w:val="PageNumber"/>
        <w:rFonts w:ascii="Tahoma" w:hAnsi="Tahoma"/>
      </w:rPr>
      <w:tab/>
      <w:t>Pack de formation Sphère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3B4D7A45" w:rsidR="00FD563A" w:rsidRPr="00087BD1" w:rsidRDefault="00087BD1" w:rsidP="00087BD1">
    <w:pPr>
      <w:pStyle w:val="Footer"/>
    </w:pPr>
    <w:r w:rsidRPr="00087BD1">
      <w:t>Module A8 – La Norme humanitaire fondamentale dans le manuel Sphè</w:t>
    </w:r>
    <w:r w:rsidR="00F17FD2">
      <w:t>re</w:t>
    </w:r>
    <w:r w:rsidR="00F17FD2">
      <w:tab/>
      <w:t>Pack de formation Sphère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B472" w14:textId="1A6265E9" w:rsidR="00FB6308" w:rsidRDefault="00087BD1" w:rsidP="00087BD1">
    <w:pPr>
      <w:pStyle w:val="Footer"/>
    </w:pPr>
    <w:r w:rsidRPr="00087BD1">
      <w:t>Module A8 – La Norme humanitaire fondamentale dans le manuel Sphère</w:t>
    </w:r>
    <w:r w:rsidR="00923CA0" w:rsidRPr="00923CA0">
      <w:tab/>
    </w:r>
    <w:r w:rsidRPr="00087BD1">
      <w:t>Pack de formation Sphère</w:t>
    </w:r>
    <w:r>
      <w:t xml:space="preserve"> </w:t>
    </w:r>
    <w:r w:rsidR="00F17FD2">
      <w:t>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28FDF8" w14:textId="77777777" w:rsidR="00AA66EB" w:rsidRDefault="00AA66EB" w:rsidP="002848CC">
      <w:pPr>
        <w:spacing w:before="0"/>
      </w:pPr>
      <w:r>
        <w:separator/>
      </w:r>
    </w:p>
  </w:footnote>
  <w:footnote w:type="continuationSeparator" w:id="0">
    <w:p w14:paraId="2A617110" w14:textId="77777777" w:rsidR="00AA66EB" w:rsidRDefault="00AA66EB"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FA4E6" w14:textId="25C81B79" w:rsidR="00923CA0" w:rsidRPr="00923CA0" w:rsidRDefault="00FB6FA0" w:rsidP="00FB6FA0">
    <w:pPr>
      <w:keepNext/>
      <w:tabs>
        <w:tab w:val="right" w:pos="9356"/>
      </w:tabs>
      <w:spacing w:before="0"/>
      <w:outlineLvl w:val="0"/>
      <w:rPr>
        <w:rFonts w:ascii="Tahoma" w:eastAsiaTheme="majorEastAsia" w:hAnsi="Tahoma" w:cs="Tahoma"/>
        <w:b/>
        <w:color w:val="004386"/>
        <w:kern w:val="32"/>
        <w:sz w:val="28"/>
        <w:szCs w:val="32"/>
      </w:rPr>
    </w:pPr>
    <w:r w:rsidRPr="00FB6FA0">
      <w:rPr>
        <w:rFonts w:ascii="Tahoma" w:eastAsiaTheme="majorEastAsia" w:hAnsi="Tahoma" w:cs="Tahoma"/>
        <w:b/>
        <w:color w:val="004386"/>
        <w:kern w:val="32"/>
        <w:sz w:val="28"/>
        <w:szCs w:val="32"/>
      </w:rPr>
      <w:t xml:space="preserve">Module A8 – La Norme humanitaire fondamentale </w:t>
    </w:r>
    <w:r w:rsidR="00923CA0" w:rsidRPr="00923CA0">
      <w:rPr>
        <w:rFonts w:ascii="Tahoma" w:eastAsiaTheme="majorEastAsia" w:hAnsi="Tahoma" w:cs="Tahoma"/>
        <w:b/>
        <w:color w:val="004386"/>
        <w:kern w:val="32"/>
        <w:sz w:val="28"/>
        <w:szCs w:val="32"/>
      </w:rPr>
      <w:tab/>
    </w:r>
    <w:r w:rsidR="00923CA0" w:rsidRPr="00923CA0">
      <w:rPr>
        <w:rFonts w:ascii="Tahoma" w:eastAsiaTheme="majorEastAsia" w:hAnsi="Tahoma" w:cs="Tahoma"/>
        <w:b/>
        <w:color w:val="579305" w:themeColor="accent1"/>
        <w:kern w:val="32"/>
        <w:sz w:val="28"/>
        <w:szCs w:val="32"/>
      </w:rPr>
      <w:t>Plan</w:t>
    </w:r>
    <w:r w:rsidR="00923CA0" w:rsidRPr="00923CA0">
      <w:rPr>
        <w:rFonts w:ascii="Tahoma" w:eastAsiaTheme="majorEastAsia" w:hAnsi="Tahoma" w:cs="Tahoma"/>
        <w:b/>
        <w:color w:val="004386"/>
        <w:kern w:val="32"/>
        <w:sz w:val="28"/>
        <w:szCs w:val="32"/>
      </w:rPr>
      <w:br/>
    </w:r>
    <w:r w:rsidRPr="00FB6FA0">
      <w:rPr>
        <w:rFonts w:ascii="Tahoma" w:eastAsiaTheme="majorEastAsia" w:hAnsi="Tahoma" w:cs="Tahoma"/>
        <w:b/>
        <w:color w:val="004386"/>
        <w:kern w:val="32"/>
        <w:sz w:val="28"/>
        <w:szCs w:val="32"/>
      </w:rPr>
      <w:t>dans le manuel Sphère</w:t>
    </w:r>
  </w:p>
  <w:p w14:paraId="61ABE55B" w14:textId="40FD4F40" w:rsidR="00FB6308" w:rsidRPr="00923CA0" w:rsidRDefault="00FB6FA0" w:rsidP="00923CA0">
    <w:pPr>
      <w:keepNext/>
      <w:pBdr>
        <w:bottom w:val="single" w:sz="4" w:space="4" w:color="004386" w:themeColor="text2"/>
      </w:pBdr>
      <w:tabs>
        <w:tab w:val="right" w:pos="9356"/>
      </w:tabs>
      <w:spacing w:before="80"/>
      <w:outlineLvl w:val="1"/>
      <w:rPr>
        <w:rFonts w:ascii="Tahoma" w:eastAsiaTheme="majorEastAsia" w:hAnsi="Tahoma" w:cs="Arial"/>
        <w:i/>
        <w:color w:val="004386" w:themeColor="text2"/>
        <w:kern w:val="32"/>
        <w:sz w:val="24"/>
        <w:szCs w:val="32"/>
      </w:rPr>
    </w:pPr>
    <w:r w:rsidRPr="00FB6FA0">
      <w:rPr>
        <w:rFonts w:ascii="Tahoma" w:eastAsiaTheme="majorEastAsia" w:hAnsi="Tahoma" w:cs="Arial"/>
        <w:i/>
        <w:color w:val="004386" w:themeColor="text2"/>
        <w:kern w:val="32"/>
        <w:sz w:val="24"/>
        <w:szCs w:val="32"/>
      </w:rPr>
      <w:t>Qu’est-ce que la CHS et comment peut-elle, en conjonction avec d’autres chapitres du manuel Sphère, améliorer la qualité et la redevabilité</w:t>
    </w:r>
    <w:r w:rsidR="00F57587">
      <w:rPr>
        <w:rFonts w:ascii="Tahoma" w:eastAsiaTheme="majorEastAsia" w:hAnsi="Tahoma" w:cs="Arial"/>
        <w:i/>
        <w:color w:val="004386" w:themeColor="text2"/>
        <w:kern w:val="32"/>
        <w:sz w:val="24"/>
        <w:szCs w:val="32"/>
      </w:rPr>
      <w: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2"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8FE3817"/>
    <w:multiLevelType w:val="hybridMultilevel"/>
    <w:tmpl w:val="2C808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FAD6490"/>
    <w:multiLevelType w:val="hybridMultilevel"/>
    <w:tmpl w:val="71F07850"/>
    <w:lvl w:ilvl="0" w:tplc="17B02222">
      <w:start w:val="1"/>
      <w:numFmt w:val="bullet"/>
      <w:pStyle w:val="subbullet"/>
      <w:lvlText w:val="–"/>
      <w:lvlJc w:val="left"/>
      <w:pPr>
        <w:ind w:left="720" w:hanging="360"/>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1"/>
  </w:num>
  <w:num w:numId="5">
    <w:abstractNumId w:val="1"/>
  </w:num>
  <w:num w:numId="6">
    <w:abstractNumId w:val="1"/>
  </w:num>
  <w:num w:numId="7">
    <w:abstractNumId w:val="0"/>
  </w:num>
  <w:num w:numId="8">
    <w:abstractNumId w:val="13"/>
  </w:num>
  <w:num w:numId="9">
    <w:abstractNumId w:val="5"/>
  </w:num>
  <w:num w:numId="10">
    <w:abstractNumId w:val="9"/>
  </w:num>
  <w:num w:numId="11">
    <w:abstractNumId w:val="2"/>
  </w:num>
  <w:num w:numId="12">
    <w:abstractNumId w:val="8"/>
  </w:num>
  <w:num w:numId="13">
    <w:abstractNumId w:val="7"/>
  </w:num>
  <w:num w:numId="14">
    <w:abstractNumId w:val="3"/>
  </w:num>
  <w:num w:numId="15">
    <w:abstractNumId w:val="4"/>
  </w:num>
  <w:num w:numId="16">
    <w:abstractNumId w:val="12"/>
  </w:num>
  <w:num w:numId="17">
    <w:abstractNumId w:val="11"/>
  </w:num>
  <w:num w:numId="18">
    <w:abstractNumId w:val="6"/>
  </w:num>
  <w:num w:numId="19">
    <w:abstractNumId w:val="10"/>
  </w:num>
  <w:num w:numId="20">
    <w:abstractNumId w:val="14"/>
  </w:num>
  <w:num w:numId="21">
    <w:abstractNumId w:val="3"/>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505EE"/>
    <w:rsid w:val="00057302"/>
    <w:rsid w:val="00084B67"/>
    <w:rsid w:val="00087BD1"/>
    <w:rsid w:val="00091280"/>
    <w:rsid w:val="00091831"/>
    <w:rsid w:val="000971A4"/>
    <w:rsid w:val="0012798F"/>
    <w:rsid w:val="0013229F"/>
    <w:rsid w:val="001470E9"/>
    <w:rsid w:val="00154EDA"/>
    <w:rsid w:val="0015588F"/>
    <w:rsid w:val="001713BA"/>
    <w:rsid w:val="00172EB9"/>
    <w:rsid w:val="001740C0"/>
    <w:rsid w:val="00174FFD"/>
    <w:rsid w:val="00182FA6"/>
    <w:rsid w:val="001A0216"/>
    <w:rsid w:val="001A41DC"/>
    <w:rsid w:val="001A4D37"/>
    <w:rsid w:val="001A5EB8"/>
    <w:rsid w:val="001B1BD9"/>
    <w:rsid w:val="001C6FD9"/>
    <w:rsid w:val="001C7F2F"/>
    <w:rsid w:val="001D0724"/>
    <w:rsid w:val="001D7A65"/>
    <w:rsid w:val="001E5A94"/>
    <w:rsid w:val="001F2E12"/>
    <w:rsid w:val="001F7F75"/>
    <w:rsid w:val="00200D4D"/>
    <w:rsid w:val="002069E5"/>
    <w:rsid w:val="002201FF"/>
    <w:rsid w:val="0026140F"/>
    <w:rsid w:val="002848CC"/>
    <w:rsid w:val="002933E5"/>
    <w:rsid w:val="002A07C3"/>
    <w:rsid w:val="002B2B1A"/>
    <w:rsid w:val="002B516B"/>
    <w:rsid w:val="002D3B86"/>
    <w:rsid w:val="002E1E49"/>
    <w:rsid w:val="002F3E24"/>
    <w:rsid w:val="0031421B"/>
    <w:rsid w:val="00314ADC"/>
    <w:rsid w:val="00315E11"/>
    <w:rsid w:val="00345606"/>
    <w:rsid w:val="00362765"/>
    <w:rsid w:val="0036571E"/>
    <w:rsid w:val="00370153"/>
    <w:rsid w:val="0037018E"/>
    <w:rsid w:val="00372C4B"/>
    <w:rsid w:val="00397D8D"/>
    <w:rsid w:val="003A2813"/>
    <w:rsid w:val="003B3F8C"/>
    <w:rsid w:val="003C1B2F"/>
    <w:rsid w:val="003C5331"/>
    <w:rsid w:val="003D14FD"/>
    <w:rsid w:val="003D2EAB"/>
    <w:rsid w:val="003D45F0"/>
    <w:rsid w:val="003E013F"/>
    <w:rsid w:val="003E2279"/>
    <w:rsid w:val="003E2DB9"/>
    <w:rsid w:val="003F26A8"/>
    <w:rsid w:val="003F4652"/>
    <w:rsid w:val="00463DB5"/>
    <w:rsid w:val="0049400D"/>
    <w:rsid w:val="00497CF5"/>
    <w:rsid w:val="004D7062"/>
    <w:rsid w:val="004E118F"/>
    <w:rsid w:val="005038F1"/>
    <w:rsid w:val="005143E9"/>
    <w:rsid w:val="00524769"/>
    <w:rsid w:val="00542DEF"/>
    <w:rsid w:val="0054354E"/>
    <w:rsid w:val="005508E9"/>
    <w:rsid w:val="00555F26"/>
    <w:rsid w:val="00572652"/>
    <w:rsid w:val="005751FD"/>
    <w:rsid w:val="005B0ED7"/>
    <w:rsid w:val="005B360E"/>
    <w:rsid w:val="005E5FD8"/>
    <w:rsid w:val="005E7413"/>
    <w:rsid w:val="005F6AEE"/>
    <w:rsid w:val="00602A88"/>
    <w:rsid w:val="006079A2"/>
    <w:rsid w:val="00607FE0"/>
    <w:rsid w:val="00613302"/>
    <w:rsid w:val="00625F2D"/>
    <w:rsid w:val="0063519D"/>
    <w:rsid w:val="0063535F"/>
    <w:rsid w:val="00637110"/>
    <w:rsid w:val="00657C11"/>
    <w:rsid w:val="006953F9"/>
    <w:rsid w:val="006A353A"/>
    <w:rsid w:val="006B600A"/>
    <w:rsid w:val="006C34F0"/>
    <w:rsid w:val="006E2DAB"/>
    <w:rsid w:val="006E3C03"/>
    <w:rsid w:val="006E6B41"/>
    <w:rsid w:val="006E74C4"/>
    <w:rsid w:val="006F3615"/>
    <w:rsid w:val="00702290"/>
    <w:rsid w:val="00714CE1"/>
    <w:rsid w:val="00715CA8"/>
    <w:rsid w:val="00716B89"/>
    <w:rsid w:val="00731755"/>
    <w:rsid w:val="00734B36"/>
    <w:rsid w:val="00740BE5"/>
    <w:rsid w:val="00741145"/>
    <w:rsid w:val="00761400"/>
    <w:rsid w:val="00765F4C"/>
    <w:rsid w:val="00772DDF"/>
    <w:rsid w:val="00775878"/>
    <w:rsid w:val="00781146"/>
    <w:rsid w:val="00781DE1"/>
    <w:rsid w:val="00793350"/>
    <w:rsid w:val="007A255B"/>
    <w:rsid w:val="007A4412"/>
    <w:rsid w:val="007A7D36"/>
    <w:rsid w:val="007B3E00"/>
    <w:rsid w:val="007C1803"/>
    <w:rsid w:val="007D2E1D"/>
    <w:rsid w:val="0080218A"/>
    <w:rsid w:val="008035AC"/>
    <w:rsid w:val="00806D71"/>
    <w:rsid w:val="00811CE0"/>
    <w:rsid w:val="00816355"/>
    <w:rsid w:val="00825D04"/>
    <w:rsid w:val="008260A5"/>
    <w:rsid w:val="00830978"/>
    <w:rsid w:val="008511F4"/>
    <w:rsid w:val="00864C35"/>
    <w:rsid w:val="0087787A"/>
    <w:rsid w:val="00877A8F"/>
    <w:rsid w:val="0088761C"/>
    <w:rsid w:val="008B7D3C"/>
    <w:rsid w:val="008D5295"/>
    <w:rsid w:val="008E2256"/>
    <w:rsid w:val="008F73CB"/>
    <w:rsid w:val="0090172B"/>
    <w:rsid w:val="00905AEC"/>
    <w:rsid w:val="0090692F"/>
    <w:rsid w:val="00913F50"/>
    <w:rsid w:val="00914750"/>
    <w:rsid w:val="009162F2"/>
    <w:rsid w:val="00923CA0"/>
    <w:rsid w:val="00925784"/>
    <w:rsid w:val="00981544"/>
    <w:rsid w:val="00985D9A"/>
    <w:rsid w:val="00992A48"/>
    <w:rsid w:val="00995549"/>
    <w:rsid w:val="009B2097"/>
    <w:rsid w:val="009B4394"/>
    <w:rsid w:val="009B6A90"/>
    <w:rsid w:val="009C5AC7"/>
    <w:rsid w:val="009D0107"/>
    <w:rsid w:val="009D6A86"/>
    <w:rsid w:val="009E270C"/>
    <w:rsid w:val="009E7C23"/>
    <w:rsid w:val="00A16F0D"/>
    <w:rsid w:val="00A27E3B"/>
    <w:rsid w:val="00A303E7"/>
    <w:rsid w:val="00A30F4D"/>
    <w:rsid w:val="00A63FDE"/>
    <w:rsid w:val="00A715B4"/>
    <w:rsid w:val="00A73998"/>
    <w:rsid w:val="00A80DF5"/>
    <w:rsid w:val="00A92601"/>
    <w:rsid w:val="00A95124"/>
    <w:rsid w:val="00AA469E"/>
    <w:rsid w:val="00AA66EB"/>
    <w:rsid w:val="00AB088B"/>
    <w:rsid w:val="00AB6437"/>
    <w:rsid w:val="00AC39E0"/>
    <w:rsid w:val="00AC607A"/>
    <w:rsid w:val="00AD30D2"/>
    <w:rsid w:val="00AD54AE"/>
    <w:rsid w:val="00B045E1"/>
    <w:rsid w:val="00B339A2"/>
    <w:rsid w:val="00B40995"/>
    <w:rsid w:val="00B51AF1"/>
    <w:rsid w:val="00B572C2"/>
    <w:rsid w:val="00B70E34"/>
    <w:rsid w:val="00B80B42"/>
    <w:rsid w:val="00B8437A"/>
    <w:rsid w:val="00BB3C39"/>
    <w:rsid w:val="00BB6A35"/>
    <w:rsid w:val="00BE3D5B"/>
    <w:rsid w:val="00C0309C"/>
    <w:rsid w:val="00C12B12"/>
    <w:rsid w:val="00C1470C"/>
    <w:rsid w:val="00C32D00"/>
    <w:rsid w:val="00C348FC"/>
    <w:rsid w:val="00C507F3"/>
    <w:rsid w:val="00C51923"/>
    <w:rsid w:val="00C820AA"/>
    <w:rsid w:val="00C95291"/>
    <w:rsid w:val="00C957D3"/>
    <w:rsid w:val="00CC2ACB"/>
    <w:rsid w:val="00CC4145"/>
    <w:rsid w:val="00CF39D5"/>
    <w:rsid w:val="00D064C5"/>
    <w:rsid w:val="00D134E1"/>
    <w:rsid w:val="00D156CB"/>
    <w:rsid w:val="00D221A6"/>
    <w:rsid w:val="00D24201"/>
    <w:rsid w:val="00D308F4"/>
    <w:rsid w:val="00D503E3"/>
    <w:rsid w:val="00D54482"/>
    <w:rsid w:val="00D649A4"/>
    <w:rsid w:val="00D90736"/>
    <w:rsid w:val="00DA3C75"/>
    <w:rsid w:val="00DB49FB"/>
    <w:rsid w:val="00DC61D0"/>
    <w:rsid w:val="00DD0F73"/>
    <w:rsid w:val="00DD15B3"/>
    <w:rsid w:val="00DD602C"/>
    <w:rsid w:val="00DD774F"/>
    <w:rsid w:val="00DE210D"/>
    <w:rsid w:val="00DE21D3"/>
    <w:rsid w:val="00DE5658"/>
    <w:rsid w:val="00DF1CA1"/>
    <w:rsid w:val="00E0524B"/>
    <w:rsid w:val="00E15219"/>
    <w:rsid w:val="00E31DE2"/>
    <w:rsid w:val="00E40E5C"/>
    <w:rsid w:val="00E62713"/>
    <w:rsid w:val="00E71BE8"/>
    <w:rsid w:val="00E71C66"/>
    <w:rsid w:val="00E8474E"/>
    <w:rsid w:val="00E949CC"/>
    <w:rsid w:val="00E95715"/>
    <w:rsid w:val="00E95F7E"/>
    <w:rsid w:val="00EA0136"/>
    <w:rsid w:val="00EA149F"/>
    <w:rsid w:val="00EA1F0B"/>
    <w:rsid w:val="00EB14C9"/>
    <w:rsid w:val="00EC08BF"/>
    <w:rsid w:val="00EC27EA"/>
    <w:rsid w:val="00ED093F"/>
    <w:rsid w:val="00EE535D"/>
    <w:rsid w:val="00F13E0E"/>
    <w:rsid w:val="00F17FD2"/>
    <w:rsid w:val="00F206C2"/>
    <w:rsid w:val="00F550F4"/>
    <w:rsid w:val="00F55302"/>
    <w:rsid w:val="00F57587"/>
    <w:rsid w:val="00F57F29"/>
    <w:rsid w:val="00F66ABC"/>
    <w:rsid w:val="00F67C7F"/>
    <w:rsid w:val="00F67F82"/>
    <w:rsid w:val="00F826EF"/>
    <w:rsid w:val="00FA5FA0"/>
    <w:rsid w:val="00FB539C"/>
    <w:rsid w:val="00FB6308"/>
    <w:rsid w:val="00FB6FA0"/>
    <w:rsid w:val="00FC76D7"/>
    <w:rsid w:val="00FD563A"/>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6AE03F88"/>
  <w15:docId w15:val="{C2FC5D9F-EC3A-4D30-9080-C08DC9A4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182FA6"/>
    <w:pPr>
      <w:spacing w:before="120"/>
    </w:pPr>
    <w:rPr>
      <w:bCs/>
      <w:szCs w:val="24"/>
      <w:lang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F55302"/>
    <w:pPr>
      <w:spacing w:before="24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F55302"/>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3C1B2F"/>
    <w:pPr>
      <w:numPr>
        <w:numId w:val="14"/>
      </w:numPr>
      <w:spacing w:before="80"/>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 w:type="paragraph" w:customStyle="1" w:styleId="subbullet">
    <w:name w:val="sub bullet"/>
    <w:aliases w:val="s"/>
    <w:basedOn w:val="Normal"/>
    <w:qFormat/>
    <w:rsid w:val="00F67C7F"/>
    <w:pPr>
      <w:numPr>
        <w:numId w:val="20"/>
      </w:numPr>
      <w:ind w:left="568"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58199">
      <w:bodyDiv w:val="1"/>
      <w:marLeft w:val="0"/>
      <w:marRight w:val="0"/>
      <w:marTop w:val="0"/>
      <w:marBottom w:val="0"/>
      <w:divBdr>
        <w:top w:val="none" w:sz="0" w:space="0" w:color="auto"/>
        <w:left w:val="none" w:sz="0" w:space="0" w:color="auto"/>
        <w:bottom w:val="none" w:sz="0" w:space="0" w:color="auto"/>
        <w:right w:val="none" w:sz="0" w:space="0" w:color="auto"/>
      </w:divBdr>
    </w:div>
    <w:div w:id="104229029">
      <w:bodyDiv w:val="1"/>
      <w:marLeft w:val="0"/>
      <w:marRight w:val="0"/>
      <w:marTop w:val="0"/>
      <w:marBottom w:val="0"/>
      <w:divBdr>
        <w:top w:val="none" w:sz="0" w:space="0" w:color="auto"/>
        <w:left w:val="none" w:sz="0" w:space="0" w:color="auto"/>
        <w:bottom w:val="none" w:sz="0" w:space="0" w:color="auto"/>
        <w:right w:val="none" w:sz="0" w:space="0" w:color="auto"/>
      </w:divBdr>
    </w:div>
    <w:div w:id="409546884">
      <w:bodyDiv w:val="1"/>
      <w:marLeft w:val="0"/>
      <w:marRight w:val="0"/>
      <w:marTop w:val="0"/>
      <w:marBottom w:val="0"/>
      <w:divBdr>
        <w:top w:val="none" w:sz="0" w:space="0" w:color="auto"/>
        <w:left w:val="none" w:sz="0" w:space="0" w:color="auto"/>
        <w:bottom w:val="none" w:sz="0" w:space="0" w:color="auto"/>
        <w:right w:val="none" w:sz="0" w:space="0" w:color="auto"/>
      </w:divBdr>
    </w:div>
    <w:div w:id="459997412">
      <w:bodyDiv w:val="1"/>
      <w:marLeft w:val="0"/>
      <w:marRight w:val="0"/>
      <w:marTop w:val="0"/>
      <w:marBottom w:val="0"/>
      <w:divBdr>
        <w:top w:val="none" w:sz="0" w:space="0" w:color="auto"/>
        <w:left w:val="none" w:sz="0" w:space="0" w:color="auto"/>
        <w:bottom w:val="none" w:sz="0" w:space="0" w:color="auto"/>
        <w:right w:val="none" w:sz="0" w:space="0" w:color="auto"/>
      </w:divBdr>
    </w:div>
    <w:div w:id="1959411522">
      <w:bodyDiv w:val="1"/>
      <w:marLeft w:val="0"/>
      <w:marRight w:val="0"/>
      <w:marTop w:val="0"/>
      <w:marBottom w:val="0"/>
      <w:divBdr>
        <w:top w:val="none" w:sz="0" w:space="0" w:color="auto"/>
        <w:left w:val="none" w:sz="0" w:space="0" w:color="auto"/>
        <w:bottom w:val="none" w:sz="0" w:space="0" w:color="auto"/>
        <w:right w:val="none" w:sz="0" w:space="0" w:color="auto"/>
      </w:divBdr>
    </w:div>
    <w:div w:id="207743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phereproject.org/" TargetMode="External"/><Relationship Id="rId18" Type="http://schemas.openxmlformats.org/officeDocument/2006/relationships/hyperlink" Target="http://www.sphereproject.org/sphere/fr/manuel/la-chs-et-sphere-questions-frequemment-posee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rehumanitarianstandard.org/" TargetMode="External"/><Relationship Id="rId17" Type="http://schemas.openxmlformats.org/officeDocument/2006/relationships/hyperlink" Target="http://chsalliance.org/news-events/news/training-manual" TargetMode="External"/><Relationship Id="rId2" Type="http://schemas.openxmlformats.org/officeDocument/2006/relationships/numbering" Target="numbering.xml"/><Relationship Id="rId16" Type="http://schemas.openxmlformats.org/officeDocument/2006/relationships/hyperlink" Target="http://chsalliance.org/verific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hereproject.org/resources/download-publications/?search=1&amp;keywords=The+Core+Humanitarian+Standard+and+the+Sphere+Core+Standards&amp;language=French&amp;category=22&amp;subcat-22=98&amp;subcat-29=0&amp;subcat-31=0&amp;subcat-35=0&amp;subcat-49=0&amp;subcat-56=0&amp;subcat-60=0&amp;subcat-80=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chsalliance.org"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youtube.com/user/TheSphereProject" TargetMode="External"/><Relationship Id="rId22" Type="http://schemas.openxmlformats.org/officeDocument/2006/relationships/footer" Target="footer3.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5A175-BFED-465F-854F-5FF6AD0E3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3069</Words>
  <Characters>17497</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20525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9</cp:revision>
  <cp:lastPrinted>2015-01-05T08:32:00Z</cp:lastPrinted>
  <dcterms:created xsi:type="dcterms:W3CDTF">2016-02-02T14:14:00Z</dcterms:created>
  <dcterms:modified xsi:type="dcterms:W3CDTF">2016-02-22T16:58:00Z</dcterms:modified>
  <cp:category/>
</cp:coreProperties>
</file>